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981" w:rsidRPr="00417981" w:rsidRDefault="00417981" w:rsidP="00417981">
      <w:pPr>
        <w:jc w:val="center"/>
        <w:rPr>
          <w:b/>
        </w:rPr>
      </w:pPr>
      <w:bookmarkStart w:id="0" w:name="OLE_LINK2"/>
      <w:r w:rsidRPr="00417981">
        <w:rPr>
          <w:b/>
        </w:rPr>
        <w:t xml:space="preserve">TEMPLATE MAREVA INJUNCTION / ATTACHMENT ORDER </w:t>
      </w:r>
    </w:p>
    <w:p w:rsidR="00417981" w:rsidRPr="00417981" w:rsidRDefault="00417981" w:rsidP="00417981">
      <w:pPr>
        <w:jc w:val="center"/>
      </w:pPr>
    </w:p>
    <w:p w:rsidR="00417981" w:rsidRPr="00417981" w:rsidRDefault="00417981" w:rsidP="00417981">
      <w:r w:rsidRPr="00417981">
        <w:t>The Template Order is intended to provide guidance to the Alberta bench and bar with respect to orders to freeze assets and prevent their dissipation pending the determination of the Action.</w:t>
      </w:r>
    </w:p>
    <w:p w:rsidR="00417981" w:rsidRPr="00417981" w:rsidRDefault="00417981" w:rsidP="00417981"/>
    <w:p w:rsidR="00417981" w:rsidRPr="00417981" w:rsidRDefault="00417981" w:rsidP="00417981">
      <w:r w:rsidRPr="00417981">
        <w:t xml:space="preserve">The objective of this Template Order is to identify and freeze assets of a defendant in appropriate circumstances. In general, it is the responsibility of counsel to ensure that the proposed Order meets the requirements of their case and to provide evidentiary support and judicial authority for the relief sought, whether contained in this model order or otherwise.  </w:t>
      </w:r>
      <w:r w:rsidRPr="00417981">
        <w:rPr>
          <w:szCs w:val="24"/>
        </w:rPr>
        <w:t xml:space="preserve">This Template Order does not alter the law with respect to </w:t>
      </w:r>
      <w:proofErr w:type="spellStart"/>
      <w:r w:rsidRPr="00417981">
        <w:rPr>
          <w:szCs w:val="24"/>
        </w:rPr>
        <w:t>Mareva</w:t>
      </w:r>
      <w:proofErr w:type="spellEnd"/>
      <w:r w:rsidRPr="00417981">
        <w:rPr>
          <w:szCs w:val="24"/>
        </w:rPr>
        <w:t xml:space="preserve"> Injunctions or Attachment Orders in the Province of Alberta and its terms may not be appropriate for all types of cases; likewise, further corollary relief may be appropriate and available beyond what is described in this Template Order.  It is the responsibility of counsel seeking the Order to ensure that the proposed Order meets the requirements of their case and to provide evidentiary support and judicial authority for the relief sought, whether contained in this model order or otherwise.</w:t>
      </w:r>
    </w:p>
    <w:p w:rsidR="00417981" w:rsidRPr="00417981" w:rsidRDefault="00417981" w:rsidP="00417981"/>
    <w:p w:rsidR="00417981" w:rsidRPr="00417981" w:rsidRDefault="00417981" w:rsidP="00417981">
      <w:r w:rsidRPr="00417981">
        <w:t xml:space="preserve">The Template Order was prepared by the Template </w:t>
      </w:r>
      <w:proofErr w:type="spellStart"/>
      <w:r w:rsidRPr="00417981">
        <w:t>Mareva</w:t>
      </w:r>
      <w:proofErr w:type="spellEnd"/>
      <w:r w:rsidRPr="00417981">
        <w:t xml:space="preserve"> Injunction / Attachment Order Committee** which consisted of:</w:t>
      </w:r>
    </w:p>
    <w:p w:rsidR="00417981" w:rsidRPr="00417981" w:rsidRDefault="00417981" w:rsidP="00417981"/>
    <w:p w:rsidR="00417981" w:rsidRPr="00417981" w:rsidRDefault="00417981" w:rsidP="00417981">
      <w:pPr>
        <w:ind w:firstLine="720"/>
        <w:rPr>
          <w:szCs w:val="24"/>
        </w:rPr>
      </w:pPr>
      <w:proofErr w:type="spellStart"/>
      <w:r w:rsidRPr="00417981">
        <w:rPr>
          <w:szCs w:val="24"/>
        </w:rPr>
        <w:t>Munaf</w:t>
      </w:r>
      <w:proofErr w:type="spellEnd"/>
      <w:r w:rsidRPr="00417981">
        <w:rPr>
          <w:szCs w:val="24"/>
        </w:rPr>
        <w:t xml:space="preserve"> Mohamed – Bennett Jones LLP</w:t>
      </w:r>
    </w:p>
    <w:p w:rsidR="00417981" w:rsidRPr="00417981" w:rsidRDefault="00417981" w:rsidP="00417981">
      <w:pPr>
        <w:ind w:firstLine="720"/>
        <w:rPr>
          <w:szCs w:val="24"/>
        </w:rPr>
      </w:pPr>
      <w:r w:rsidRPr="00417981">
        <w:rPr>
          <w:szCs w:val="24"/>
        </w:rPr>
        <w:t xml:space="preserve">Michael </w:t>
      </w:r>
      <w:proofErr w:type="spellStart"/>
      <w:r w:rsidRPr="00417981">
        <w:rPr>
          <w:szCs w:val="24"/>
        </w:rPr>
        <w:t>Mysak</w:t>
      </w:r>
      <w:proofErr w:type="spellEnd"/>
      <w:r w:rsidRPr="00417981">
        <w:rPr>
          <w:szCs w:val="24"/>
        </w:rPr>
        <w:t xml:space="preserve"> – Bennett Jones LLP</w:t>
      </w:r>
    </w:p>
    <w:p w:rsidR="00417981" w:rsidRPr="00417981" w:rsidRDefault="00417981" w:rsidP="00417981">
      <w:pPr>
        <w:ind w:firstLine="720"/>
        <w:rPr>
          <w:szCs w:val="24"/>
        </w:rPr>
      </w:pPr>
      <w:r w:rsidRPr="00417981">
        <w:rPr>
          <w:szCs w:val="24"/>
        </w:rPr>
        <w:t>David T. Madsen, Q.C. – Borden Ladner Gervais LLP</w:t>
      </w:r>
    </w:p>
    <w:p w:rsidR="00417981" w:rsidRPr="00417981" w:rsidRDefault="00417981" w:rsidP="00417981">
      <w:pPr>
        <w:rPr>
          <w:szCs w:val="24"/>
          <w:lang w:val="fr-CA"/>
        </w:rPr>
      </w:pPr>
      <w:r w:rsidRPr="00417981">
        <w:rPr>
          <w:szCs w:val="24"/>
        </w:rPr>
        <w:tab/>
      </w:r>
      <w:r w:rsidRPr="00417981">
        <w:rPr>
          <w:szCs w:val="24"/>
          <w:lang w:val="fr-CA"/>
        </w:rPr>
        <w:t xml:space="preserve">Laura M. </w:t>
      </w:r>
      <w:proofErr w:type="spellStart"/>
      <w:r w:rsidRPr="00417981">
        <w:rPr>
          <w:szCs w:val="24"/>
          <w:lang w:val="fr-CA"/>
        </w:rPr>
        <w:t>Poppel</w:t>
      </w:r>
      <w:proofErr w:type="spellEnd"/>
      <w:r w:rsidRPr="00417981">
        <w:rPr>
          <w:szCs w:val="24"/>
          <w:lang w:val="fr-CA"/>
        </w:rPr>
        <w:t xml:space="preserve"> – Borden </w:t>
      </w:r>
      <w:proofErr w:type="spellStart"/>
      <w:r w:rsidRPr="00417981">
        <w:rPr>
          <w:szCs w:val="24"/>
          <w:lang w:val="fr-CA"/>
        </w:rPr>
        <w:t>Ladner</w:t>
      </w:r>
      <w:proofErr w:type="spellEnd"/>
      <w:r w:rsidRPr="00417981">
        <w:rPr>
          <w:szCs w:val="24"/>
          <w:lang w:val="fr-CA"/>
        </w:rPr>
        <w:t xml:space="preserve"> Gervais LLP </w:t>
      </w:r>
    </w:p>
    <w:p w:rsidR="00417981" w:rsidRPr="00417981" w:rsidRDefault="00417981" w:rsidP="00417981">
      <w:pPr>
        <w:ind w:left="720"/>
        <w:rPr>
          <w:szCs w:val="24"/>
        </w:rPr>
      </w:pPr>
      <w:r w:rsidRPr="00417981">
        <w:rPr>
          <w:szCs w:val="24"/>
        </w:rPr>
        <w:t xml:space="preserve">G. James </w:t>
      </w:r>
      <w:proofErr w:type="spellStart"/>
      <w:r w:rsidRPr="00417981">
        <w:rPr>
          <w:szCs w:val="24"/>
        </w:rPr>
        <w:t>Thorlakson</w:t>
      </w:r>
      <w:proofErr w:type="spellEnd"/>
      <w:r w:rsidRPr="00417981">
        <w:rPr>
          <w:szCs w:val="24"/>
        </w:rPr>
        <w:t xml:space="preserve"> – Dentons Canada LLP</w:t>
      </w:r>
    </w:p>
    <w:p w:rsidR="00417981" w:rsidRPr="00417981" w:rsidRDefault="00417981" w:rsidP="00417981">
      <w:pPr>
        <w:rPr>
          <w:szCs w:val="24"/>
        </w:rPr>
      </w:pPr>
      <w:r w:rsidRPr="00417981">
        <w:rPr>
          <w:szCs w:val="24"/>
        </w:rPr>
        <w:tab/>
        <w:t>Matthew R. Lindsay, Q.C. – Rose LLP</w:t>
      </w:r>
    </w:p>
    <w:p w:rsidR="00417981" w:rsidRPr="00417981" w:rsidRDefault="00417981" w:rsidP="00417981">
      <w:pPr>
        <w:spacing w:before="120"/>
        <w:rPr>
          <w:rFonts w:eastAsiaTheme="minorEastAsia" w:cstheme="minorBidi"/>
          <w:sz w:val="24"/>
          <w:szCs w:val="24"/>
        </w:rPr>
      </w:pPr>
    </w:p>
    <w:p w:rsidR="00417981" w:rsidRPr="00417981" w:rsidRDefault="00417981" w:rsidP="00417981">
      <w:pPr>
        <w:spacing w:before="120"/>
        <w:rPr>
          <w:rFonts w:eastAsiaTheme="minorEastAsia" w:cstheme="minorBidi"/>
          <w:szCs w:val="22"/>
        </w:rPr>
      </w:pPr>
      <w:r w:rsidRPr="00417981">
        <w:rPr>
          <w:rFonts w:eastAsiaTheme="minorEastAsia" w:cstheme="minorBidi"/>
          <w:szCs w:val="22"/>
        </w:rPr>
        <w:t>** This Template Order was reviewed and approved by the Alberta Template Orders Committee (Alberta Committee), the membership of which was:</w:t>
      </w:r>
    </w:p>
    <w:p w:rsidR="00417981" w:rsidRPr="00417981" w:rsidRDefault="00417981" w:rsidP="00417981">
      <w:pPr>
        <w:spacing w:before="120"/>
        <w:rPr>
          <w:rFonts w:eastAsiaTheme="minorEastAsia" w:cstheme="minorBidi"/>
          <w:szCs w:val="22"/>
        </w:rPr>
      </w:pPr>
    </w:p>
    <w:p w:rsidR="00417981" w:rsidRPr="00417981" w:rsidRDefault="00417981" w:rsidP="00417981">
      <w:pPr>
        <w:rPr>
          <w:rFonts w:eastAsiaTheme="minorEastAsia" w:cstheme="minorBidi"/>
          <w:szCs w:val="22"/>
        </w:rPr>
      </w:pPr>
      <w:r w:rsidRPr="00417981">
        <w:rPr>
          <w:rFonts w:eastAsiaTheme="minorEastAsia" w:cstheme="minorBidi"/>
          <w:szCs w:val="22"/>
        </w:rPr>
        <w:tab/>
        <w:t xml:space="preserve">Darren </w:t>
      </w:r>
      <w:proofErr w:type="spellStart"/>
      <w:r w:rsidRPr="00417981">
        <w:rPr>
          <w:rFonts w:eastAsiaTheme="minorEastAsia" w:cstheme="minorBidi"/>
          <w:szCs w:val="22"/>
        </w:rPr>
        <w:t>Bieganek</w:t>
      </w:r>
      <w:proofErr w:type="spellEnd"/>
      <w:r w:rsidRPr="00417981">
        <w:rPr>
          <w:rFonts w:eastAsiaTheme="minorEastAsia" w:cstheme="minorBidi"/>
          <w:szCs w:val="22"/>
        </w:rPr>
        <w:t xml:space="preserve">, Q.C., Jeremy </w:t>
      </w:r>
      <w:proofErr w:type="spellStart"/>
      <w:r w:rsidRPr="00417981">
        <w:rPr>
          <w:rFonts w:eastAsiaTheme="minorEastAsia" w:cstheme="minorBidi"/>
          <w:szCs w:val="22"/>
        </w:rPr>
        <w:t>Hockin</w:t>
      </w:r>
      <w:proofErr w:type="spellEnd"/>
      <w:r w:rsidRPr="00417981">
        <w:rPr>
          <w:rFonts w:eastAsiaTheme="minorEastAsia" w:cstheme="minorBidi"/>
          <w:szCs w:val="22"/>
        </w:rPr>
        <w:t xml:space="preserve">, Q.C., David Mann, Rick </w:t>
      </w:r>
      <w:proofErr w:type="spellStart"/>
      <w:r w:rsidRPr="00417981">
        <w:rPr>
          <w:rFonts w:eastAsiaTheme="minorEastAsia" w:cstheme="minorBidi"/>
          <w:szCs w:val="22"/>
        </w:rPr>
        <w:t>Reeson</w:t>
      </w:r>
      <w:proofErr w:type="spellEnd"/>
      <w:r w:rsidRPr="00417981">
        <w:rPr>
          <w:rFonts w:eastAsiaTheme="minorEastAsia" w:cstheme="minorBidi"/>
          <w:szCs w:val="22"/>
        </w:rPr>
        <w:t xml:space="preserve">, Q.C., </w:t>
      </w:r>
    </w:p>
    <w:p w:rsidR="00417981" w:rsidRPr="00417981" w:rsidRDefault="00417981" w:rsidP="00417981">
      <w:pPr>
        <w:rPr>
          <w:rFonts w:eastAsiaTheme="minorEastAsia" w:cstheme="minorBidi"/>
          <w:szCs w:val="22"/>
        </w:rPr>
      </w:pPr>
      <w:r w:rsidRPr="00417981">
        <w:rPr>
          <w:rFonts w:eastAsiaTheme="minorEastAsia" w:cstheme="minorBidi"/>
          <w:szCs w:val="22"/>
        </w:rPr>
        <w:tab/>
        <w:t xml:space="preserve">Randal van der </w:t>
      </w:r>
      <w:proofErr w:type="spellStart"/>
      <w:r w:rsidRPr="00417981">
        <w:rPr>
          <w:rFonts w:eastAsiaTheme="minorEastAsia" w:cstheme="minorBidi"/>
          <w:szCs w:val="22"/>
        </w:rPr>
        <w:t>Mosselaer</w:t>
      </w:r>
      <w:proofErr w:type="spellEnd"/>
      <w:r w:rsidRPr="00417981">
        <w:rPr>
          <w:rFonts w:eastAsiaTheme="minorEastAsia" w:cstheme="minorBidi"/>
          <w:szCs w:val="22"/>
        </w:rPr>
        <w:t xml:space="preserve">, Adam </w:t>
      </w:r>
      <w:proofErr w:type="spellStart"/>
      <w:r w:rsidRPr="00417981">
        <w:rPr>
          <w:rFonts w:eastAsiaTheme="minorEastAsia" w:cstheme="minorBidi"/>
          <w:szCs w:val="22"/>
        </w:rPr>
        <w:t>Maerov</w:t>
      </w:r>
      <w:proofErr w:type="spellEnd"/>
      <w:r w:rsidRPr="00417981">
        <w:rPr>
          <w:rFonts w:eastAsiaTheme="minorEastAsia" w:cstheme="minorBidi"/>
          <w:szCs w:val="22"/>
        </w:rPr>
        <w:t xml:space="preserve">, Carole Hunter and Chuck Russell, Q.C., </w:t>
      </w:r>
    </w:p>
    <w:p w:rsidR="00417981" w:rsidRPr="00417981" w:rsidRDefault="00417981" w:rsidP="00417981">
      <w:pPr>
        <w:rPr>
          <w:rFonts w:eastAsiaTheme="minorEastAsia" w:cstheme="minorBidi"/>
          <w:szCs w:val="22"/>
        </w:rPr>
      </w:pPr>
      <w:r w:rsidRPr="00417981">
        <w:rPr>
          <w:rFonts w:eastAsiaTheme="minorEastAsia" w:cstheme="minorBidi"/>
          <w:szCs w:val="22"/>
        </w:rPr>
        <w:tab/>
        <w:t xml:space="preserve">and Josef Kruger, Q.C. with input from Justice K.M. Horner, Justice K.M. </w:t>
      </w:r>
      <w:proofErr w:type="spellStart"/>
      <w:r w:rsidRPr="00417981">
        <w:rPr>
          <w:rFonts w:eastAsiaTheme="minorEastAsia" w:cstheme="minorBidi"/>
          <w:szCs w:val="22"/>
        </w:rPr>
        <w:t>Eidsvik</w:t>
      </w:r>
      <w:proofErr w:type="spellEnd"/>
      <w:r w:rsidRPr="00417981">
        <w:rPr>
          <w:rFonts w:eastAsiaTheme="minorEastAsia" w:cstheme="minorBidi"/>
          <w:szCs w:val="22"/>
        </w:rPr>
        <w:t xml:space="preserve">, </w:t>
      </w:r>
    </w:p>
    <w:p w:rsidR="00417981" w:rsidRPr="00417981" w:rsidRDefault="00417981" w:rsidP="00417981">
      <w:pPr>
        <w:rPr>
          <w:rFonts w:eastAsiaTheme="minorEastAsia" w:cstheme="minorBidi"/>
          <w:szCs w:val="22"/>
        </w:rPr>
      </w:pPr>
      <w:r w:rsidRPr="00417981">
        <w:rPr>
          <w:rFonts w:eastAsiaTheme="minorEastAsia" w:cstheme="minorBidi"/>
          <w:szCs w:val="22"/>
        </w:rPr>
        <w:tab/>
        <w:t xml:space="preserve">and Justice K.G. </w:t>
      </w:r>
      <w:proofErr w:type="spellStart"/>
      <w:r w:rsidRPr="00417981">
        <w:rPr>
          <w:rFonts w:eastAsiaTheme="minorEastAsia" w:cstheme="minorBidi"/>
          <w:szCs w:val="22"/>
        </w:rPr>
        <w:t>Neilsen</w:t>
      </w:r>
      <w:proofErr w:type="spellEnd"/>
      <w:r w:rsidRPr="00417981">
        <w:rPr>
          <w:rFonts w:eastAsiaTheme="minorEastAsia" w:cstheme="minorBidi"/>
          <w:szCs w:val="22"/>
        </w:rPr>
        <w:t>.</w:t>
      </w:r>
    </w:p>
    <w:p w:rsidR="00417981" w:rsidRPr="00417981" w:rsidRDefault="00417981" w:rsidP="00417981">
      <w:pPr>
        <w:spacing w:before="120"/>
        <w:rPr>
          <w:rFonts w:eastAsiaTheme="minorEastAsia" w:cstheme="minorBidi"/>
          <w:szCs w:val="22"/>
        </w:rPr>
      </w:pPr>
    </w:p>
    <w:p w:rsidR="00417981" w:rsidRPr="00417981" w:rsidRDefault="00417981" w:rsidP="00417981">
      <w:pPr>
        <w:spacing w:before="120"/>
        <w:rPr>
          <w:rFonts w:eastAsiaTheme="minorEastAsia" w:cstheme="minorBidi"/>
          <w:szCs w:val="22"/>
        </w:rPr>
      </w:pPr>
      <w:r w:rsidRPr="00417981">
        <w:rPr>
          <w:rFonts w:eastAsiaTheme="minorEastAsia" w:cstheme="minorBidi"/>
          <w:szCs w:val="22"/>
        </w:rPr>
        <w:t>The assistance of the Members of the Judiciary on the Alberta Committee does not mean that there is an "arrangement" with the Court that any type of Order will be granted.  In each application the discretion of the presiding Justice will be completely unfettered.</w:t>
      </w:r>
    </w:p>
    <w:p w:rsidR="00FE1EFF" w:rsidRDefault="00417981" w:rsidP="00AC4696"/>
    <w:p w:rsidR="006C57D2" w:rsidRDefault="00417981" w:rsidP="00AC4696"/>
    <w:p w:rsidR="006C57D2" w:rsidRDefault="00417981" w:rsidP="00AC4696"/>
    <w:p w:rsidR="006C57D2" w:rsidRDefault="00417981" w:rsidP="00AC4696"/>
    <w:p w:rsidR="006C57D2" w:rsidRDefault="00417981"/>
    <w:p w:rsidR="00780F4F" w:rsidRDefault="00FF4712">
      <w:r>
        <w:br w:type="page"/>
      </w:r>
    </w:p>
    <w:tbl>
      <w:tblPr>
        <w:tblW w:w="9648" w:type="dxa"/>
        <w:tblLook w:val="06A0" w:firstRow="1" w:lastRow="0" w:firstColumn="1" w:lastColumn="0" w:noHBand="1" w:noVBand="1"/>
      </w:tblPr>
      <w:tblGrid>
        <w:gridCol w:w="2808"/>
        <w:gridCol w:w="360"/>
        <w:gridCol w:w="3940"/>
        <w:gridCol w:w="300"/>
        <w:gridCol w:w="2240"/>
      </w:tblGrid>
      <w:tr w:rsidR="003F0242" w:rsidTr="00070BB2">
        <w:trPr>
          <w:gridAfter w:val="1"/>
          <w:wAfter w:w="2240" w:type="dxa"/>
        </w:trPr>
        <w:tc>
          <w:tcPr>
            <w:tcW w:w="2808" w:type="dxa"/>
          </w:tcPr>
          <w:p w:rsidR="001D66DB" w:rsidRDefault="00FF4712" w:rsidP="00136EC9">
            <w:pPr>
              <w:pStyle w:val="BodyText"/>
              <w:spacing w:after="0" w:line="240" w:lineRule="auto"/>
            </w:pPr>
            <w:r>
              <w:lastRenderedPageBreak/>
              <w:t>COURT FILE NUMBER</w:t>
            </w:r>
          </w:p>
        </w:tc>
        <w:bookmarkStart w:id="1" w:name="Text45"/>
        <w:tc>
          <w:tcPr>
            <w:tcW w:w="4600" w:type="dxa"/>
            <w:gridSpan w:val="3"/>
          </w:tcPr>
          <w:p w:rsidR="001D66DB" w:rsidRDefault="00FF4712" w:rsidP="00136EC9">
            <w:pPr>
              <w:pStyle w:val="subsection1"/>
              <w:keepNext/>
              <w:spacing w:before="0" w:after="240" w:line="240" w:lineRule="auto"/>
              <w:ind w:left="0"/>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
            <w:r>
              <w:rPr>
                <w:b/>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2915920</wp:posOffset>
                      </wp:positionH>
                      <wp:positionV relativeFrom="paragraph">
                        <wp:posOffset>12700</wp:posOffset>
                      </wp:positionV>
                      <wp:extent cx="1497965" cy="10636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063625"/>
                              </a:xfrm>
                              <a:prstGeom prst="rect">
                                <a:avLst/>
                              </a:prstGeom>
                              <a:solidFill>
                                <a:srgbClr val="FFFFFF"/>
                              </a:solidFill>
                              <a:ln w="9525">
                                <a:solidFill>
                                  <a:srgbClr val="BFBFBF"/>
                                </a:solidFill>
                                <a:miter lim="800000"/>
                                <a:headEnd/>
                                <a:tailEnd/>
                              </a:ln>
                            </wps:spPr>
                            <wps:txbx>
                              <w:txbxContent>
                                <w:p w:rsidR="00C13988" w:rsidRDefault="00FF4712" w:rsidP="00136EC9">
                                  <w:pPr>
                                    <w:jc w:val="center"/>
                                    <w:rPr>
                                      <w:sz w:val="20"/>
                                    </w:rPr>
                                  </w:pPr>
                                  <w:r>
                                    <w:rPr>
                                      <w:sz w:val="20"/>
                                    </w:rPr>
                                    <w:t>Clerk's Stamp</w:t>
                                  </w:r>
                                </w:p>
                                <w:p w:rsidR="00C13988" w:rsidRDefault="00417981" w:rsidP="00136EC9">
                                  <w:pPr>
                                    <w:jc w:val="center"/>
                                  </w:pPr>
                                </w:p>
                                <w:p w:rsidR="00C13988" w:rsidRDefault="00417981" w:rsidP="00136EC9">
                                  <w:pPr>
                                    <w:jc w:val="center"/>
                                  </w:pPr>
                                </w:p>
                                <w:p w:rsidR="00C13988" w:rsidRDefault="00417981" w:rsidP="00136EC9">
                                  <w:pPr>
                                    <w:jc w:val="center"/>
                                  </w:pP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9.6pt;margin-top:1pt;width:117.95pt;height:8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" strokecolor="#bfbfbf">
                      <v:textbox>
                        <w:txbxContent>
                          <w:p w:rsidR="00C13988" w:rsidRDefault="00FF4712" w:rsidP="00136EC9">
                            <w:pPr>
                              <w:jc w:val="center"/>
                              <w:rPr>
                                <w:sz w:val="20"/>
                              </w:rPr>
                            </w:pPr>
                            <w:r>
                              <w:rPr>
                                <w:sz w:val="20"/>
                              </w:rPr>
                              <w:t>Clerk's Stamp</w:t>
                            </w:r>
                          </w:p>
                          <w:p w:rsidR="00C13988" w:rsidRDefault="00417981" w:rsidP="00136EC9">
                            <w:pPr>
                              <w:jc w:val="center"/>
                            </w:pPr>
                          </w:p>
                          <w:p w:rsidR="00C13988" w:rsidRDefault="00417981" w:rsidP="00136EC9">
                            <w:pPr>
                              <w:jc w:val="center"/>
                            </w:pPr>
                          </w:p>
                          <w:p w:rsidR="00C13988" w:rsidRDefault="00417981" w:rsidP="00136EC9">
                            <w:pPr>
                              <w:jc w:val="center"/>
                            </w:pPr>
                          </w:p>
                        </w:txbxContent>
                      </v:textbox>
                    </v:shape>
                  </w:pict>
                </mc:Fallback>
              </mc:AlternateContent>
            </w:r>
          </w:p>
        </w:tc>
      </w:tr>
      <w:tr w:rsidR="003F0242" w:rsidTr="00070BB2">
        <w:trPr>
          <w:gridAfter w:val="1"/>
          <w:wAfter w:w="2240" w:type="dxa"/>
        </w:trPr>
        <w:tc>
          <w:tcPr>
            <w:tcW w:w="2808" w:type="dxa"/>
          </w:tcPr>
          <w:p w:rsidR="001D66DB" w:rsidRDefault="00FF4712" w:rsidP="00136EC9">
            <w:pPr>
              <w:pStyle w:val="BodyText"/>
              <w:spacing w:after="0" w:line="240" w:lineRule="auto"/>
            </w:pPr>
            <w:r>
              <w:t>COURT</w:t>
            </w:r>
          </w:p>
        </w:tc>
        <w:tc>
          <w:tcPr>
            <w:tcW w:w="4600" w:type="dxa"/>
            <w:gridSpan w:val="3"/>
          </w:tcPr>
          <w:p w:rsidR="001D66DB" w:rsidRDefault="00FF4712" w:rsidP="00136EC9">
            <w:pPr>
              <w:pStyle w:val="BodyText"/>
              <w:spacing w:line="240" w:lineRule="auto"/>
              <w:jc w:val="left"/>
            </w:pPr>
            <w:r>
              <w:rPr>
                <w:color w:val="000000"/>
              </w:rPr>
              <w:t>COURT OF QUEEN'S BENCH OF ALBERTA</w:t>
            </w:r>
          </w:p>
        </w:tc>
      </w:tr>
      <w:tr w:rsidR="003F0242" w:rsidTr="00070BB2">
        <w:trPr>
          <w:gridAfter w:val="1"/>
          <w:wAfter w:w="2240" w:type="dxa"/>
        </w:trPr>
        <w:tc>
          <w:tcPr>
            <w:tcW w:w="2808" w:type="dxa"/>
          </w:tcPr>
          <w:p w:rsidR="001D66DB" w:rsidRDefault="00FF4712" w:rsidP="00136EC9">
            <w:pPr>
              <w:pStyle w:val="BodyText"/>
              <w:spacing w:after="0" w:line="240" w:lineRule="auto"/>
            </w:pPr>
            <w:r>
              <w:rPr>
                <w:color w:val="000000"/>
              </w:rPr>
              <w:t>JUDICIAL CENTRE</w:t>
            </w:r>
          </w:p>
        </w:tc>
        <w:tc>
          <w:tcPr>
            <w:tcW w:w="4600" w:type="dxa"/>
            <w:gridSpan w:val="3"/>
          </w:tcPr>
          <w:p w:rsidR="001D66DB" w:rsidRDefault="00FF4712" w:rsidP="00136EC9">
            <w:pPr>
              <w:pStyle w:val="BodyText"/>
              <w:spacing w:line="240" w:lineRule="auto"/>
              <w:jc w:val="left"/>
            </w:pPr>
            <w:r>
              <w:rPr>
                <w:b/>
              </w:rPr>
              <w:fldChar w:fldCharType="begin">
                <w:ffData>
                  <w:name w:val="Text4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w:t>
            </w:r>
          </w:p>
        </w:tc>
      </w:tr>
      <w:tr w:rsidR="003F0242" w:rsidTr="00070BB2">
        <w:trPr>
          <w:gridAfter w:val="1"/>
          <w:wAfter w:w="2240" w:type="dxa"/>
        </w:trPr>
        <w:tc>
          <w:tcPr>
            <w:tcW w:w="2808" w:type="dxa"/>
          </w:tcPr>
          <w:p w:rsidR="001D66DB" w:rsidRDefault="00FF4712" w:rsidP="00136EC9">
            <w:pPr>
              <w:pStyle w:val="BodyText"/>
              <w:spacing w:after="0" w:line="240" w:lineRule="auto"/>
              <w:rPr>
                <w:color w:val="000000"/>
              </w:rPr>
            </w:pPr>
            <w:r>
              <w:rPr>
                <w:color w:val="000000"/>
              </w:rPr>
              <w:t>PLAINTIFF(S)</w:t>
            </w:r>
          </w:p>
        </w:tc>
        <w:bookmarkStart w:id="2" w:name="Text46"/>
        <w:tc>
          <w:tcPr>
            <w:tcW w:w="4600" w:type="dxa"/>
            <w:gridSpan w:val="3"/>
          </w:tcPr>
          <w:p w:rsidR="001D66DB" w:rsidRDefault="00FF4712" w:rsidP="00136EC9">
            <w:pPr>
              <w:pStyle w:val="BodyText"/>
              <w:spacing w:line="240" w:lineRule="auto"/>
              <w:jc w:val="left"/>
              <w:rPr>
                <w:b/>
              </w:rPr>
            </w:pPr>
            <w:r>
              <w:rPr>
                <w:b/>
              </w:rPr>
              <w:fldChar w:fldCharType="begin">
                <w:ffData>
                  <w:name w:val="Text4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3F0242" w:rsidTr="00070BB2">
        <w:trPr>
          <w:gridAfter w:val="1"/>
          <w:wAfter w:w="2240" w:type="dxa"/>
        </w:trPr>
        <w:tc>
          <w:tcPr>
            <w:tcW w:w="2808" w:type="dxa"/>
          </w:tcPr>
          <w:p w:rsidR="001D66DB" w:rsidRDefault="00FF4712" w:rsidP="00136EC9">
            <w:pPr>
              <w:pStyle w:val="BodyText"/>
              <w:spacing w:after="0" w:line="240" w:lineRule="auto"/>
            </w:pPr>
            <w:r>
              <w:rPr>
                <w:color w:val="000000"/>
              </w:rPr>
              <w:t>DEFENDANT(S)</w:t>
            </w:r>
          </w:p>
        </w:tc>
        <w:bookmarkStart w:id="3" w:name="Text47"/>
        <w:tc>
          <w:tcPr>
            <w:tcW w:w="4600" w:type="dxa"/>
            <w:gridSpan w:val="3"/>
          </w:tcPr>
          <w:p w:rsidR="001D66DB" w:rsidRDefault="00FF4712" w:rsidP="00136EC9">
            <w:pPr>
              <w:pStyle w:val="BodyText"/>
              <w:spacing w:line="240" w:lineRule="auto"/>
              <w:jc w:val="left"/>
            </w:pPr>
            <w:r>
              <w:rPr>
                <w:b/>
              </w:rPr>
              <w:fldChar w:fldCharType="begin">
                <w:ffData>
                  <w:name w:val="Text4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3F0242" w:rsidTr="00070BB2">
        <w:trPr>
          <w:gridAfter w:val="1"/>
          <w:wAfter w:w="2240" w:type="dxa"/>
        </w:trPr>
        <w:tc>
          <w:tcPr>
            <w:tcW w:w="2808" w:type="dxa"/>
          </w:tcPr>
          <w:p w:rsidR="001D66DB" w:rsidRDefault="00FF4712" w:rsidP="00136EC9">
            <w:pPr>
              <w:pStyle w:val="BodyText"/>
              <w:spacing w:after="0" w:line="240" w:lineRule="auto"/>
            </w:pPr>
            <w:r>
              <w:rPr>
                <w:color w:val="000000"/>
              </w:rPr>
              <w:t xml:space="preserve">DOCUMENT </w:t>
            </w:r>
          </w:p>
        </w:tc>
        <w:tc>
          <w:tcPr>
            <w:tcW w:w="4600" w:type="dxa"/>
            <w:gridSpan w:val="3"/>
          </w:tcPr>
          <w:p w:rsidR="00FE1EFF" w:rsidRDefault="00FF4712" w:rsidP="00297EFC">
            <w:pPr>
              <w:pStyle w:val="BodyText"/>
              <w:spacing w:line="240" w:lineRule="auto"/>
              <w:jc w:val="left"/>
              <w:rPr>
                <w:b/>
                <w:sz w:val="28"/>
                <w:szCs w:val="28"/>
              </w:rPr>
            </w:pPr>
            <w:r>
              <w:rPr>
                <w:b/>
                <w:sz w:val="28"/>
                <w:szCs w:val="28"/>
              </w:rPr>
              <w:t>MAREVA INJUNCTION / ATTACHMENT ORDER</w:t>
            </w:r>
            <w:r>
              <w:rPr>
                <w:rStyle w:val="EndnoteReference"/>
                <w:b/>
                <w:sz w:val="28"/>
                <w:szCs w:val="28"/>
              </w:rPr>
              <w:endnoteReference w:id="1"/>
            </w:r>
            <w:r>
              <w:rPr>
                <w:b/>
                <w:sz w:val="28"/>
                <w:szCs w:val="28"/>
              </w:rPr>
              <w:t xml:space="preserve"> </w:t>
            </w:r>
          </w:p>
        </w:tc>
      </w:tr>
      <w:tr w:rsidR="003F0242" w:rsidTr="00070BB2">
        <w:trPr>
          <w:trHeight w:val="880"/>
        </w:trPr>
        <w:tc>
          <w:tcPr>
            <w:tcW w:w="3168" w:type="dxa"/>
            <w:gridSpan w:val="2"/>
          </w:tcPr>
          <w:p w:rsidR="00FE1EFF" w:rsidRDefault="00FF4712" w:rsidP="00136EC9">
            <w:pPr>
              <w:pStyle w:val="subsection1"/>
              <w:keepNext/>
              <w:ind w:left="0"/>
            </w:pPr>
            <w:r>
              <w:rPr>
                <w:color w:val="000000"/>
                <w:lang w:val="en-CA"/>
              </w:rPr>
              <w:t>ADDRESS FOR SERVICE AND</w:t>
            </w:r>
          </w:p>
          <w:p w:rsidR="00FE1EFF" w:rsidRDefault="00FF4712" w:rsidP="00136EC9">
            <w:pPr>
              <w:pStyle w:val="section1"/>
              <w:keepNext/>
              <w:spacing w:before="240"/>
              <w:ind w:left="0"/>
            </w:pPr>
            <w:r>
              <w:rPr>
                <w:color w:val="000000"/>
                <w:lang w:val="en-CA"/>
              </w:rPr>
              <w:t>CONTACT INFORMATION OF</w:t>
            </w:r>
          </w:p>
          <w:p w:rsidR="00FE1EFF" w:rsidRDefault="00FF4712" w:rsidP="00136EC9">
            <w:pPr>
              <w:pStyle w:val="section1"/>
              <w:keepNext/>
              <w:spacing w:before="240"/>
              <w:ind w:left="0"/>
              <w:rPr>
                <w:color w:val="000000"/>
                <w:lang w:val="en-CA"/>
              </w:rPr>
            </w:pPr>
            <w:r>
              <w:rPr>
                <w:color w:val="000000"/>
                <w:lang w:val="en-CA"/>
              </w:rPr>
              <w:t xml:space="preserve">PARTY FILING THIS </w:t>
            </w:r>
          </w:p>
          <w:p w:rsidR="00FE1EFF" w:rsidRDefault="00FF4712" w:rsidP="00136EC9">
            <w:pPr>
              <w:pStyle w:val="section1"/>
              <w:keepNext/>
              <w:spacing w:before="240"/>
              <w:ind w:left="0"/>
              <w:rPr>
                <w:sz w:val="22"/>
                <w:szCs w:val="22"/>
              </w:rPr>
            </w:pPr>
            <w:r>
              <w:rPr>
                <w:color w:val="000000"/>
                <w:lang w:val="en-CA"/>
              </w:rPr>
              <w:t>DOCUMENT</w:t>
            </w:r>
          </w:p>
        </w:tc>
        <w:tc>
          <w:tcPr>
            <w:tcW w:w="3940" w:type="dxa"/>
          </w:tcPr>
          <w:p w:rsidR="00FE1EFF" w:rsidRDefault="00417981" w:rsidP="00136EC9">
            <w:pPr>
              <w:pStyle w:val="subsection1"/>
              <w:keepNext/>
              <w:spacing w:before="0"/>
              <w:ind w:left="0"/>
              <w:rPr>
                <w:sz w:val="22"/>
                <w:szCs w:val="22"/>
              </w:rPr>
            </w:pPr>
          </w:p>
          <w:p w:rsidR="00FE1EFF" w:rsidRDefault="00417981" w:rsidP="00136EC9">
            <w:pPr>
              <w:pStyle w:val="subsection1"/>
              <w:keepNext/>
              <w:ind w:left="0"/>
              <w:rPr>
                <w:sz w:val="22"/>
                <w:szCs w:val="22"/>
              </w:rPr>
            </w:pPr>
          </w:p>
        </w:tc>
        <w:tc>
          <w:tcPr>
            <w:tcW w:w="2540" w:type="dxa"/>
            <w:gridSpan w:val="2"/>
          </w:tcPr>
          <w:p w:rsidR="00FE1EFF" w:rsidRPr="00B40864" w:rsidRDefault="00417981" w:rsidP="00136EC9">
            <w:pPr>
              <w:pStyle w:val="subsection1"/>
              <w:keepNext/>
              <w:ind w:left="0"/>
              <w:rPr>
                <w:sz w:val="22"/>
                <w:szCs w:val="22"/>
              </w:rPr>
            </w:pPr>
          </w:p>
        </w:tc>
      </w:tr>
    </w:tbl>
    <w:p w:rsidR="00FE1EFF" w:rsidRDefault="00FF4712" w:rsidP="008B3925">
      <w:pPr>
        <w:pStyle w:val="BT15"/>
        <w:tabs>
          <w:tab w:val="left" w:pos="2838"/>
        </w:tabs>
        <w:spacing w:before="240" w:after="0"/>
        <w:rPr>
          <w:b/>
        </w:rPr>
      </w:pPr>
      <w:r>
        <w:rPr>
          <w:b/>
        </w:rPr>
        <w:tab/>
      </w:r>
    </w:p>
    <w:p w:rsidR="00FE1EFF" w:rsidRDefault="00FF4712" w:rsidP="00351036">
      <w:pPr>
        <w:pStyle w:val="BT15"/>
        <w:spacing w:after="0"/>
        <w:rPr>
          <w:b/>
        </w:rPr>
      </w:pPr>
      <w:r>
        <w:rPr>
          <w:b/>
        </w:rPr>
        <w:t>DATE ON WHICH ORDER WAS PRONOUNCED:      _________________________________</w:t>
      </w:r>
    </w:p>
    <w:p w:rsidR="00FE1EFF" w:rsidRDefault="00FF4712" w:rsidP="00136EC9">
      <w:pPr>
        <w:pStyle w:val="Head1"/>
        <w:spacing w:before="240"/>
        <w:jc w:val="left"/>
      </w:pPr>
      <w:r>
        <w:t xml:space="preserve">LOCATION WHERE ORDER WAS PRONOUNCED:  </w:t>
      </w:r>
      <w:r w:rsidRPr="00070BB2">
        <w:t>_________________________________</w:t>
      </w:r>
    </w:p>
    <w:p w:rsidR="00FE1EFF" w:rsidRDefault="00FF4712" w:rsidP="00351036">
      <w:pPr>
        <w:pStyle w:val="BT15"/>
        <w:rPr>
          <w:b/>
        </w:rPr>
      </w:pPr>
      <w:r>
        <w:rPr>
          <w:b/>
        </w:rPr>
        <w:t>NAME OF JUSTICE</w:t>
      </w:r>
      <w:r>
        <w:rPr>
          <w:rStyle w:val="EndnoteReference"/>
          <w:b/>
        </w:rPr>
        <w:endnoteReference w:id="2"/>
      </w:r>
      <w:r>
        <w:rPr>
          <w:b/>
        </w:rPr>
        <w:t xml:space="preserve"> WHO MADE THIS ORDER:        </w:t>
      </w:r>
      <w:r w:rsidRPr="00070BB2">
        <w:rPr>
          <w:b/>
        </w:rPr>
        <w:t>_________________________________</w:t>
      </w:r>
    </w:p>
    <w:p w:rsidR="00FE1EFF" w:rsidRPr="00EE0660" w:rsidRDefault="00FF4712" w:rsidP="00136EC9">
      <w:pPr>
        <w:pStyle w:val="BT15"/>
      </w:pPr>
      <w:r>
        <w:rPr>
          <w:b/>
        </w:rPr>
        <w:t xml:space="preserve">UPON </w:t>
      </w:r>
      <w:r w:rsidRPr="00771F57">
        <w:t>t</w:t>
      </w:r>
      <w:r>
        <w:t xml:space="preserve">he </w:t>
      </w:r>
      <w:r w:rsidRPr="00F75A01">
        <w:rPr>
          <w:i/>
        </w:rPr>
        <w:t xml:space="preserve">ex </w:t>
      </w:r>
      <w:proofErr w:type="spellStart"/>
      <w:r w:rsidRPr="00F75A01">
        <w:rPr>
          <w:i/>
        </w:rPr>
        <w:t>parte</w:t>
      </w:r>
      <w:proofErr w:type="spellEnd"/>
      <w:r>
        <w:rPr>
          <w:i/>
        </w:rPr>
        <w:t xml:space="preserve"> </w:t>
      </w:r>
      <w:r>
        <w:t>application of the Plaintiff(s);</w:t>
      </w:r>
      <w:r>
        <w:rPr>
          <w:rStyle w:val="EndnoteReference"/>
        </w:rPr>
        <w:endnoteReference w:id="3"/>
      </w:r>
      <w:r>
        <w:t xml:space="preserve"> </w:t>
      </w:r>
      <w:r>
        <w:rPr>
          <w:b/>
        </w:rPr>
        <w:t xml:space="preserve">AND UPON </w:t>
      </w:r>
      <w:r w:rsidRPr="00351036">
        <w:t>reading the Statement of Claim;</w:t>
      </w:r>
      <w:r>
        <w:rPr>
          <w:rStyle w:val="EndnoteReference"/>
        </w:rPr>
        <w:endnoteReference w:id="4"/>
      </w:r>
      <w:r w:rsidRPr="00351036">
        <w:rPr>
          <w:b/>
        </w:rPr>
        <w:t xml:space="preserve"> </w:t>
      </w:r>
      <w:r>
        <w:rPr>
          <w:b/>
        </w:rPr>
        <w:t xml:space="preserve">AND UPON </w:t>
      </w:r>
      <w:r>
        <w:t>reading</w:t>
      </w:r>
      <w:r>
        <w:rPr>
          <w:b/>
        </w:rPr>
        <w:t xml:space="preserve"> </w:t>
      </w:r>
      <w:r>
        <w:t>the Affidavit(s) of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b/>
        </w:rPr>
        <w:t xml:space="preserve">AND UPON </w:t>
      </w:r>
      <w:r>
        <w:t>reading the brief filed in support of this Application;</w:t>
      </w:r>
      <w:r>
        <w:rPr>
          <w:rStyle w:val="EndnoteReference"/>
        </w:rPr>
        <w:endnoteReference w:id="5"/>
      </w:r>
      <w:r>
        <w:t xml:space="preserve"> </w:t>
      </w:r>
      <w:r>
        <w:rPr>
          <w:b/>
        </w:rPr>
        <w:t xml:space="preserve">AND UPON </w:t>
      </w:r>
      <w:r>
        <w:t>hearing the</w:t>
      </w:r>
      <w:r>
        <w:rPr>
          <w:b/>
        </w:rPr>
        <w:t xml:space="preserve"> </w:t>
      </w:r>
      <w:r>
        <w:t xml:space="preserve">submissions of counsel for the Plaintiff(s); </w:t>
      </w:r>
      <w:r>
        <w:rPr>
          <w:b/>
        </w:rPr>
        <w:t xml:space="preserve">AND UPON </w:t>
      </w:r>
      <w:r>
        <w:t>being satisfied that there is a reasonable likelihood that the Plaintiff's claim against the Defendant will be established;</w:t>
      </w:r>
      <w:r>
        <w:rPr>
          <w:rStyle w:val="EndnoteReference"/>
        </w:rPr>
        <w:endnoteReference w:id="6"/>
      </w:r>
      <w:r>
        <w:t xml:space="preserve"> </w:t>
      </w:r>
      <w:r>
        <w:rPr>
          <w:b/>
        </w:rPr>
        <w:t xml:space="preserve">AND UPON </w:t>
      </w:r>
      <w:r>
        <w:t xml:space="preserve">being satisfied that the Plaintiff has a strong </w:t>
      </w:r>
      <w:r>
        <w:rPr>
          <w:i/>
        </w:rPr>
        <w:t xml:space="preserve">prima facie </w:t>
      </w:r>
      <w:r>
        <w:t>case against the Defendant;</w:t>
      </w:r>
      <w:r>
        <w:rPr>
          <w:rStyle w:val="EndnoteReference"/>
        </w:rPr>
        <w:endnoteReference w:id="7"/>
      </w:r>
      <w:r>
        <w:t xml:space="preserve"> </w:t>
      </w:r>
      <w:r>
        <w:rPr>
          <w:b/>
        </w:rPr>
        <w:t xml:space="preserve">AND UPON </w:t>
      </w:r>
      <w:r>
        <w:t>being satisfied that there are reasonable grounds for believing that the Defendant has assets in Alberta;</w:t>
      </w:r>
      <w:r>
        <w:rPr>
          <w:rStyle w:val="EndnoteReference"/>
        </w:rPr>
        <w:endnoteReference w:id="8"/>
      </w:r>
      <w:r>
        <w:t xml:space="preserve"> </w:t>
      </w:r>
      <w:r>
        <w:rPr>
          <w:b/>
        </w:rPr>
        <w:t xml:space="preserve">AND UPON </w:t>
      </w:r>
      <w:r>
        <w:t xml:space="preserve">being satisfied that there are reasonable grounds for believing that the Defendant is dealing, or is likely to deal with the defendant's </w:t>
      </w:r>
      <w:proofErr w:type="spellStart"/>
      <w:r>
        <w:t>exigible</w:t>
      </w:r>
      <w:proofErr w:type="spellEnd"/>
      <w:r>
        <w:t xml:space="preserve"> property otherwise than for the purposes of meeting his or her reasonable and ordinary business or living expenses and in a manner that would be likely to seriously hinder the Plaintiff in the enforcement of judgment against the Defendant;</w:t>
      </w:r>
      <w:r>
        <w:rPr>
          <w:rStyle w:val="EndnoteReference"/>
        </w:rPr>
        <w:endnoteReference w:id="9"/>
      </w:r>
      <w:r>
        <w:t xml:space="preserve"> </w:t>
      </w:r>
      <w:r>
        <w:rPr>
          <w:b/>
        </w:rPr>
        <w:t xml:space="preserve">AND UPON </w:t>
      </w:r>
      <w:r>
        <w:t>being satisfied that there are reasonable grounds for believing that there is a risk that the Defendant's assets will be dissipated or removed before any judgment in this Action is awarded or satisfied;</w:t>
      </w:r>
      <w:r>
        <w:rPr>
          <w:rStyle w:val="EndnoteReference"/>
        </w:rPr>
        <w:endnoteReference w:id="10"/>
      </w:r>
      <w:r>
        <w:t xml:space="preserve"> </w:t>
      </w:r>
      <w:r>
        <w:rPr>
          <w:b/>
        </w:rPr>
        <w:t xml:space="preserve">AND UPON </w:t>
      </w:r>
      <w:r>
        <w:t>noting the undertaking of the Plaintiff to abide by any Order this Court may make concerning damages arising from the enforcement of this Order in the form attached as Schedule "A";</w:t>
      </w:r>
      <w:r>
        <w:rPr>
          <w:rStyle w:val="EndnoteReference"/>
        </w:rPr>
        <w:endnoteReference w:id="11"/>
      </w:r>
      <w:r>
        <w:t xml:space="preserve"> </w:t>
      </w:r>
      <w:r>
        <w:rPr>
          <w:b/>
        </w:rPr>
        <w:lastRenderedPageBreak/>
        <w:t xml:space="preserve">AND UPON </w:t>
      </w:r>
      <w:r>
        <w:t xml:space="preserve">considering Part 3 of the </w:t>
      </w:r>
      <w:r>
        <w:rPr>
          <w:i/>
        </w:rPr>
        <w:t xml:space="preserve">Civil Enforcement Act, </w:t>
      </w:r>
      <w:r>
        <w:t xml:space="preserve">RSA 2000, c c-15, as amended; </w:t>
      </w:r>
      <w:r>
        <w:rPr>
          <w:b/>
        </w:rPr>
        <w:t xml:space="preserve">AND UPON </w:t>
      </w:r>
      <w:r>
        <w:t xml:space="preserve">being satisfied that the granting of this Order is warranted on an </w:t>
      </w:r>
      <w:r>
        <w:rPr>
          <w:i/>
        </w:rPr>
        <w:t xml:space="preserve">ex </w:t>
      </w:r>
      <w:proofErr w:type="spellStart"/>
      <w:r>
        <w:rPr>
          <w:i/>
        </w:rPr>
        <w:t>parte</w:t>
      </w:r>
      <w:proofErr w:type="spellEnd"/>
      <w:r>
        <w:rPr>
          <w:i/>
        </w:rPr>
        <w:t xml:space="preserve"> </w:t>
      </w:r>
      <w:r>
        <w:t xml:space="preserve">basis; </w:t>
      </w:r>
    </w:p>
    <w:p w:rsidR="00FE1EFF" w:rsidRDefault="00FF4712" w:rsidP="00136EC9">
      <w:pPr>
        <w:pStyle w:val="BT15"/>
        <w:rPr>
          <w:b/>
        </w:rPr>
      </w:pPr>
      <w:r w:rsidRPr="00070BB2">
        <w:rPr>
          <w:b/>
        </w:rPr>
        <w:t>IT IS HEREBY ORDERED THAT</w:t>
      </w:r>
      <w:r>
        <w:rPr>
          <w:b/>
        </w:rPr>
        <w:t>:</w:t>
      </w:r>
    </w:p>
    <w:p w:rsidR="00FE1EFF" w:rsidRDefault="00FF4712" w:rsidP="00685B14">
      <w:pPr>
        <w:rPr>
          <w:b/>
        </w:rPr>
      </w:pPr>
      <w:r w:rsidRPr="00685B14">
        <w:rPr>
          <w:b/>
        </w:rPr>
        <w:t>Freezing Order</w:t>
      </w:r>
      <w:r>
        <w:rPr>
          <w:rStyle w:val="EndnoteReference"/>
          <w:b/>
        </w:rPr>
        <w:endnoteReference w:id="12"/>
      </w:r>
    </w:p>
    <w:p w:rsidR="00FE1EFF" w:rsidRPr="00685B14" w:rsidRDefault="00417981" w:rsidP="00685B14">
      <w:pPr>
        <w:rPr>
          <w:b/>
        </w:rPr>
      </w:pPr>
    </w:p>
    <w:p w:rsidR="00FE1EFF" w:rsidRDefault="00FF4712" w:rsidP="00C13988">
      <w:pPr>
        <w:pStyle w:val="Heading1"/>
      </w:pPr>
      <w:r>
        <w:t>Other than as permitted by this Order, the Defendant [</w:t>
      </w:r>
      <w:r w:rsidRPr="001434C0">
        <w:rPr>
          <w:shd w:val="clear" w:color="auto" w:fill="D9D9D9" w:themeFill="background1" w:themeFillShade="D9"/>
        </w:rPr>
        <w:t xml:space="preserve">if the defendant is a corporation </w:t>
      </w:r>
      <w:r>
        <w:rPr>
          <w:shd w:val="clear" w:color="auto" w:fill="D9D9D9" w:themeFill="background1" w:themeFillShade="D9"/>
        </w:rPr>
        <w:t>"</w:t>
      </w:r>
      <w:r w:rsidRPr="001434C0">
        <w:rPr>
          <w:shd w:val="clear" w:color="auto" w:fill="D9D9D9" w:themeFill="background1" w:themeFillShade="D9"/>
        </w:rPr>
        <w:t>and its directors, officers, servants, employees, agents, assigns and anyone else acting on their behalf or in conjunction with any of them</w:t>
      </w:r>
      <w:r>
        <w:rPr>
          <w:shd w:val="clear" w:color="auto" w:fill="D9D9D9" w:themeFill="background1" w:themeFillShade="D9"/>
        </w:rPr>
        <w:t>"</w:t>
      </w:r>
      <w:r>
        <w:t>] is restrained from directly, or indirectly, by any means whatsoever, dealing with, transferring, mortgaging, charging, using, disposing of, creating an interest in or doing anything to</w:t>
      </w:r>
      <w:r>
        <w:rPr>
          <w:rStyle w:val="EndnoteReference"/>
        </w:rPr>
        <w:endnoteReference w:id="13"/>
      </w:r>
      <w:r>
        <w:t xml:space="preserve"> any "</w:t>
      </w:r>
      <w:proofErr w:type="spellStart"/>
      <w:r>
        <w:t>exigible</w:t>
      </w:r>
      <w:proofErr w:type="spellEnd"/>
      <w:r>
        <w:t xml:space="preserve"> property" (as defined in the </w:t>
      </w:r>
      <w:r>
        <w:rPr>
          <w:i/>
        </w:rPr>
        <w:t xml:space="preserve">Civil Enforcement Act </w:t>
      </w:r>
      <w:r>
        <w:t>and associated regulations)</w:t>
      </w:r>
      <w:r>
        <w:rPr>
          <w:rStyle w:val="EndnoteReference"/>
        </w:rPr>
        <w:endnoteReference w:id="14"/>
      </w:r>
      <w:r>
        <w:t xml:space="preserve"> including, without limitation, any things, rights or interests in things, anything regarded in law or equity as property or as an interest in property, any right or interest that can be transferred for value from one person to another, any right, including a contingent or future right, to be paid money or receive any other kind of property, and any cause of action in which the Defendant has any interest pending any further Order of this Court, whether located in Alberta or elsewhere.</w:t>
      </w:r>
    </w:p>
    <w:p w:rsidR="00FE1EFF" w:rsidRDefault="00FF4712" w:rsidP="00685B14">
      <w:pPr>
        <w:pStyle w:val="Heading1"/>
      </w:pPr>
      <w:r>
        <w:t>The prohibition set out in paragraph 1 applies to all of the Defendant's assets, whether in the Defendant's own name or not, and whether solely or jointly owned, including but not limited to:</w:t>
      </w:r>
    </w:p>
    <w:p w:rsidR="00FE1EFF" w:rsidRDefault="00FF4712" w:rsidP="009C48D3">
      <w:pPr>
        <w:pStyle w:val="Heading2"/>
      </w:pPr>
      <w:r>
        <w:t>any bank, investment or other account at any bank, financial or other institution including without limitation those accounts outlined in the attached Schedule "B";</w:t>
      </w:r>
    </w:p>
    <w:p w:rsidR="00FE1EFF" w:rsidRDefault="00FF4712" w:rsidP="009C48D3">
      <w:pPr>
        <w:pStyle w:val="Heading2"/>
      </w:pPr>
      <w:r>
        <w:t>any motor vehicle, trailer, or other vehicle registered to the Defendant including those vehicles outlined in the attached Schedule "B";</w:t>
      </w:r>
    </w:p>
    <w:p w:rsidR="00FE1EFF" w:rsidRDefault="00FF4712" w:rsidP="009C48D3">
      <w:pPr>
        <w:pStyle w:val="Heading2"/>
      </w:pPr>
      <w:r>
        <w:t>any real property in which the Defendant has any interest including the real property outlined in the attached Schedule "B";</w:t>
      </w:r>
    </w:p>
    <w:p w:rsidR="00FE1EFF" w:rsidRDefault="00FF4712" w:rsidP="009C48D3">
      <w:pPr>
        <w:pStyle w:val="Heading2"/>
      </w:pPr>
      <w:bookmarkStart w:id="4" w:name="_GoBack"/>
      <w:bookmarkEnd w:id="4"/>
      <w:r>
        <w:t>any and all other personal property of any description whatsoever; and</w:t>
      </w:r>
    </w:p>
    <w:p w:rsidR="00FE1EFF" w:rsidRDefault="00FF4712" w:rsidP="009C48D3">
      <w:pPr>
        <w:pStyle w:val="Heading2"/>
      </w:pPr>
      <w:r>
        <w:t xml:space="preserve">any and all share certificates, negotiable instruments and the like. </w:t>
      </w:r>
    </w:p>
    <w:p w:rsidR="00FE1EFF" w:rsidRDefault="00FF4712" w:rsidP="00C13988">
      <w:pPr>
        <w:pStyle w:val="Heading1"/>
      </w:pPr>
      <w:r>
        <w:t>Without limiting the scope of paragraph 1, the Defendant is further prohibited from dealing with or using in any manner any secured credit, including but not limited to any credit card, loan, or line of credit, for which payment is secured against any personal or real property in which the Defendant has any interest, pending further Order of this Court.</w:t>
      </w:r>
    </w:p>
    <w:p w:rsidR="00FE1EFF" w:rsidRDefault="00FF4712" w:rsidP="009C48D3">
      <w:pPr>
        <w:rPr>
          <w:b/>
        </w:rPr>
      </w:pPr>
      <w:r w:rsidRPr="009C48D3">
        <w:rPr>
          <w:b/>
        </w:rPr>
        <w:t xml:space="preserve">Third Parties </w:t>
      </w:r>
    </w:p>
    <w:p w:rsidR="00FE1EFF" w:rsidRPr="009C48D3" w:rsidRDefault="00417981" w:rsidP="009C48D3">
      <w:pPr>
        <w:rPr>
          <w:b/>
        </w:rPr>
      </w:pPr>
    </w:p>
    <w:p w:rsidR="00FE1EFF" w:rsidRDefault="00FF4712" w:rsidP="00EB76C7">
      <w:pPr>
        <w:pStyle w:val="Heading1"/>
      </w:pPr>
      <w:r>
        <w:t xml:space="preserve">Any person or entity with notice of this Order is prohibited from </w:t>
      </w:r>
      <w:r w:rsidRPr="00EB76C7">
        <w:t xml:space="preserve">directly, or indirectly, by any means whatsoever, </w:t>
      </w:r>
      <w:r>
        <w:t xml:space="preserve">dealing with, </w:t>
      </w:r>
      <w:r w:rsidRPr="00EB76C7">
        <w:t>transferring, mortgaging, charging, using, disposing of, creating an i</w:t>
      </w:r>
      <w:r>
        <w:t>nterest in or doing anything to</w:t>
      </w:r>
      <w:r w:rsidRPr="00EB76C7">
        <w:t xml:space="preserve"> any </w:t>
      </w:r>
      <w:r>
        <w:t>"</w:t>
      </w:r>
      <w:proofErr w:type="spellStart"/>
      <w:r w:rsidRPr="00EB76C7">
        <w:t>exigible</w:t>
      </w:r>
      <w:proofErr w:type="spellEnd"/>
      <w:r w:rsidRPr="00EB76C7">
        <w:t xml:space="preserve"> property</w:t>
      </w:r>
      <w:r>
        <w:t>"</w:t>
      </w:r>
      <w:r w:rsidRPr="00EB76C7">
        <w:t xml:space="preserve"> (as defined in the </w:t>
      </w:r>
      <w:r w:rsidRPr="00EB76C7">
        <w:rPr>
          <w:i/>
        </w:rPr>
        <w:t>Civil Enforcement Act</w:t>
      </w:r>
      <w:r w:rsidRPr="00EB76C7">
        <w:t xml:space="preserve"> and associated regulations) in which the Defendant has any interest</w:t>
      </w:r>
      <w:r>
        <w:t>, whether such property is located in Alberta or elsewhere.</w:t>
      </w:r>
      <w:r>
        <w:rPr>
          <w:rStyle w:val="EndnoteReference"/>
        </w:rPr>
        <w:endnoteReference w:id="15"/>
      </w:r>
    </w:p>
    <w:p w:rsidR="00FE1EFF" w:rsidRDefault="00FF4712" w:rsidP="00C13988">
      <w:pPr>
        <w:pStyle w:val="Heading1"/>
      </w:pPr>
      <w:r>
        <w:t xml:space="preserve">Any branch(es) of the banks, financial institutions or other financial entities that is (are) served with a copy of this Order is (are) enjoined from disbursing or dealing with any funds or assets deposited in all accounts, including without limiting the generality of the foregoing, safety deposit </w:t>
      </w:r>
      <w:r>
        <w:lastRenderedPageBreak/>
        <w:t>box(es), investments, loans or other customer accounts held in the Defendant's name or such accounts in which the Defendant is authorized to conduct transactions.</w:t>
      </w:r>
      <w:r>
        <w:rPr>
          <w:rStyle w:val="EndnoteReference"/>
        </w:rPr>
        <w:endnoteReference w:id="16"/>
      </w:r>
    </w:p>
    <w:p w:rsidR="00FE1EFF" w:rsidRDefault="00FF4712" w:rsidP="00C13988">
      <w:pPr>
        <w:pStyle w:val="Heading1"/>
      </w:pPr>
      <w:r>
        <w:t>Any branch(es) of the banks, financial institutions or other financial entities that is (are) served with a copy of this Order that know(s) or become(s) aware of any safety deposit box(es) held by or on behalf of the Defendant is (are) directed to forthwith advise counsel for the Plaintiff of the location of such safety deposit box(es) and provide counsel for the Plaintiff, or such other person as authorized to act on behalf of the Plaintiff, with access to such safety deposit box(es), including without limitation, access to the contents of such safety deposit box(es).</w:t>
      </w:r>
      <w:r>
        <w:rPr>
          <w:rStyle w:val="EndnoteReference"/>
        </w:rPr>
        <w:endnoteReference w:id="17"/>
      </w:r>
    </w:p>
    <w:p w:rsidR="00FE1EFF" w:rsidRDefault="00FF4712" w:rsidP="00EB76C7">
      <w:pPr>
        <w:rPr>
          <w:b/>
        </w:rPr>
      </w:pPr>
      <w:r>
        <w:rPr>
          <w:b/>
        </w:rPr>
        <w:t>Disclosure of Assets</w:t>
      </w:r>
    </w:p>
    <w:p w:rsidR="00FE1EFF" w:rsidRDefault="00417981" w:rsidP="00EB76C7">
      <w:pPr>
        <w:rPr>
          <w:b/>
        </w:rPr>
      </w:pPr>
    </w:p>
    <w:p w:rsidR="00FE1EFF" w:rsidRDefault="00417981" w:rsidP="00EB76C7">
      <w:pPr>
        <w:rPr>
          <w:b/>
        </w:rPr>
      </w:pPr>
    </w:p>
    <w:p w:rsidR="00FE1EFF" w:rsidRPr="005F1E27" w:rsidRDefault="00FF4712" w:rsidP="005F1E27">
      <w:pPr>
        <w:pStyle w:val="Heading1"/>
      </w:pPr>
      <w:r w:rsidRPr="005F1E27">
        <w:t>The Defendant</w:t>
      </w:r>
      <w:r>
        <w:rPr>
          <w:rStyle w:val="EndnoteReference"/>
        </w:rPr>
        <w:endnoteReference w:id="18"/>
      </w:r>
      <w:r w:rsidRPr="005F1E27">
        <w:t xml:space="preserve"> shall forthwith, and in any event, within fifteen (15) days of service of this Order, deliver to counsel for </w:t>
      </w:r>
      <w:r>
        <w:t>the Plaintiff</w:t>
      </w:r>
      <w:r w:rsidRPr="005F1E27">
        <w:t xml:space="preserve"> sworn evidence of the nature and location of all of </w:t>
      </w:r>
      <w:r>
        <w:t>its</w:t>
      </w:r>
      <w:r w:rsidRPr="005F1E27">
        <w:t xml:space="preserve"> assets, wheresoever located, including assets held on their behalf or in trust for </w:t>
      </w:r>
      <w:r>
        <w:t>it</w:t>
      </w:r>
      <w:r w:rsidRPr="005F1E27">
        <w:t xml:space="preserve">, assets held jointly by </w:t>
      </w:r>
      <w:r>
        <w:t>it</w:t>
      </w:r>
      <w:r w:rsidRPr="005F1E27">
        <w:t xml:space="preserve"> with some other party, assets in which </w:t>
      </w:r>
      <w:r>
        <w:t>it</w:t>
      </w:r>
      <w:r w:rsidRPr="005F1E27">
        <w:t xml:space="preserve"> hold any interest and assets that </w:t>
      </w:r>
      <w:r>
        <w:t>it</w:t>
      </w:r>
      <w:r w:rsidRPr="005F1E27">
        <w:t xml:space="preserve"> hold</w:t>
      </w:r>
      <w:r>
        <w:t>s</w:t>
      </w:r>
      <w:r w:rsidRPr="005F1E27">
        <w:t xml:space="preserve"> in trust for any other party.  This evidence shall be presented using Form 13 or Form 14, as applicable, of Schedule 4 to the </w:t>
      </w:r>
      <w:r w:rsidRPr="005F1E27">
        <w:rPr>
          <w:i/>
        </w:rPr>
        <w:t>Civil Enforcement Regulation</w:t>
      </w:r>
      <w:r w:rsidRPr="005F1E27">
        <w:t>, AR 265/96.</w:t>
      </w:r>
    </w:p>
    <w:p w:rsidR="00FE1EFF" w:rsidRPr="005F1E27" w:rsidRDefault="00FF4712" w:rsidP="00EB76C7">
      <w:r>
        <w:rPr>
          <w:b/>
        </w:rPr>
        <w:t>Exceptions to this Order</w:t>
      </w:r>
    </w:p>
    <w:p w:rsidR="00FE1EFF" w:rsidRDefault="00FF4712" w:rsidP="00EB76C7">
      <w:r>
        <w:rPr>
          <w:rStyle w:val="EndnoteReference"/>
        </w:rPr>
        <w:endnoteReference w:id="19"/>
      </w:r>
    </w:p>
    <w:p w:rsidR="00FE1EFF" w:rsidRDefault="00FF4712" w:rsidP="00EB76C7">
      <w:pPr>
        <w:pStyle w:val="Heading1"/>
      </w:pPr>
      <w:r>
        <w:t>Notwithstanding the provisions herein, counsel for the Plaintiff and the Defendant may, by written agreement signed by all parties, temporarily or permanently exclude specified "</w:t>
      </w:r>
      <w:proofErr w:type="spellStart"/>
      <w:r w:rsidRPr="009B0F4A">
        <w:t>exigible</w:t>
      </w:r>
      <w:proofErr w:type="spellEnd"/>
      <w:r w:rsidRPr="009B0F4A">
        <w:t xml:space="preserve"> property</w:t>
      </w:r>
      <w:r>
        <w:t>"</w:t>
      </w:r>
      <w:r w:rsidRPr="009B0F4A">
        <w:t xml:space="preserve"> </w:t>
      </w:r>
      <w:r>
        <w:t>from the effect of this Order.</w:t>
      </w:r>
    </w:p>
    <w:p w:rsidR="00FE1EFF" w:rsidRDefault="00FF4712" w:rsidP="00801CF9">
      <w:pPr>
        <w:pStyle w:val="Heading1"/>
        <w:numPr>
          <w:ilvl w:val="0"/>
          <w:numId w:val="0"/>
        </w:numPr>
        <w:ind w:left="720" w:hanging="720"/>
        <w:rPr>
          <w:b/>
        </w:rPr>
      </w:pPr>
      <w:r>
        <w:rPr>
          <w:b/>
        </w:rPr>
        <w:t xml:space="preserve">Duration of this Order </w:t>
      </w:r>
    </w:p>
    <w:p w:rsidR="00562BD2" w:rsidRPr="00562BD2" w:rsidRDefault="00FF4712" w:rsidP="00562BD2">
      <w:pPr>
        <w:pStyle w:val="Heading1"/>
        <w:numPr>
          <w:ilvl w:val="0"/>
          <w:numId w:val="0"/>
        </w:numPr>
        <w:ind w:left="720"/>
        <w:rPr>
          <w:b/>
        </w:rPr>
      </w:pPr>
      <w:r>
        <w:rPr>
          <w:b/>
        </w:rPr>
        <w:t>[Note: choose one or other of these paragraphs 9 as appropriate]</w:t>
      </w:r>
    </w:p>
    <w:p w:rsidR="00FE1EFF" w:rsidRDefault="00FF4712" w:rsidP="000502ED">
      <w:pPr>
        <w:pStyle w:val="Heading1"/>
      </w:pPr>
      <w:r w:rsidRPr="00465F9B">
        <w:t>[</w:t>
      </w:r>
      <w:r w:rsidRPr="00801CF9">
        <w:rPr>
          <w:i/>
        </w:rPr>
        <w:t xml:space="preserve">If the application is made ex </w:t>
      </w:r>
      <w:proofErr w:type="spellStart"/>
      <w:r w:rsidRPr="00801CF9">
        <w:rPr>
          <w:i/>
        </w:rPr>
        <w:t>parte</w:t>
      </w:r>
      <w:proofErr w:type="spellEnd"/>
      <w:r w:rsidRPr="00801CF9">
        <w:rPr>
          <w:i/>
        </w:rPr>
        <w:t xml:space="preserve"> and no circumstances exist</w:t>
      </w:r>
      <w:r>
        <w:t xml:space="preserve"> </w:t>
      </w:r>
      <w:r w:rsidRPr="00801CF9">
        <w:rPr>
          <w:i/>
        </w:rPr>
        <w:t>which would make it inappropriate for the order granted to expire</w:t>
      </w:r>
      <w:r>
        <w:rPr>
          <w:i/>
        </w:rPr>
        <w:t xml:space="preserve"> </w:t>
      </w:r>
      <w:r w:rsidRPr="00801CF9">
        <w:rPr>
          <w:i/>
        </w:rPr>
        <w:t>automatically after 21 days</w:t>
      </w:r>
      <w:r w:rsidRPr="00465F9B">
        <w:t>]</w:t>
      </w:r>
      <w:r>
        <w:t xml:space="preserve"> Unless this Order is varied or discharged by a further Order of this Court, t</w:t>
      </w:r>
      <w:r w:rsidRPr="00465F9B">
        <w:t>his Order will remain in force up to and including [</w:t>
      </w:r>
      <w:r w:rsidRPr="00412662">
        <w:rPr>
          <w:shd w:val="clear" w:color="auto" w:fill="D9D9D9" w:themeFill="background1" w:themeFillShade="D9"/>
        </w:rPr>
        <w:t>date 21 days from the date of the Order</w:t>
      </w:r>
      <w:r>
        <w:t>] unless the Order is extended on application on notice to the defendant.</w:t>
      </w:r>
      <w:r>
        <w:rPr>
          <w:rStyle w:val="EndnoteReference"/>
        </w:rPr>
        <w:endnoteReference w:id="20"/>
      </w:r>
    </w:p>
    <w:p w:rsidR="00FE1EFF" w:rsidRDefault="00FF4712" w:rsidP="00562BD2">
      <w:pPr>
        <w:pStyle w:val="Heading1"/>
        <w:numPr>
          <w:ilvl w:val="0"/>
          <w:numId w:val="29"/>
        </w:numPr>
      </w:pPr>
      <w:r w:rsidRPr="00562BD2">
        <w:t>[</w:t>
      </w:r>
      <w:r w:rsidRPr="00562BD2">
        <w:rPr>
          <w:i/>
        </w:rPr>
        <w:t xml:space="preserve">If the application is made ex </w:t>
      </w:r>
      <w:proofErr w:type="spellStart"/>
      <w:r w:rsidRPr="00562BD2">
        <w:rPr>
          <w:i/>
        </w:rPr>
        <w:t>parte</w:t>
      </w:r>
      <w:proofErr w:type="spellEnd"/>
      <w:r w:rsidRPr="00562BD2">
        <w:rPr>
          <w:i/>
        </w:rPr>
        <w:t xml:space="preserve"> and there are circumstances that exist which would make it inappropriate for the order granted to expire automatically after 21 days</w:t>
      </w:r>
      <w:r>
        <w:t xml:space="preserve">] </w:t>
      </w:r>
      <w:r w:rsidRPr="00465F9B">
        <w:t>Unless this Order is varied or discharged by order of the Court, this Or</w:t>
      </w:r>
      <w:r>
        <w:t>der shall remain in force until the earlier of:</w:t>
      </w:r>
    </w:p>
    <w:p w:rsidR="00FE1EFF" w:rsidRDefault="00FF4712" w:rsidP="00412662">
      <w:pPr>
        <w:pStyle w:val="Heading2"/>
      </w:pPr>
      <w:r>
        <w:t xml:space="preserve">the dismissal or discontinuance of the Plaintiff's claim; or </w:t>
      </w:r>
    </w:p>
    <w:p w:rsidR="00FE1EFF" w:rsidRDefault="00FF4712" w:rsidP="00412662">
      <w:pPr>
        <w:pStyle w:val="Heading2"/>
      </w:pPr>
      <w:r>
        <w:t xml:space="preserve">the expiry of 60 days </w:t>
      </w:r>
      <w:r w:rsidRPr="00465F9B">
        <w:t>following the pronouncement of final judgment in this matter by this Court, including any necessary assessment of damages but not the assessment of costs or completio</w:t>
      </w:r>
      <w:r>
        <w:t>n of all execution proceedings.</w:t>
      </w:r>
      <w:r>
        <w:rPr>
          <w:rStyle w:val="EndnoteReference"/>
        </w:rPr>
        <w:endnoteReference w:id="21"/>
      </w:r>
    </w:p>
    <w:p w:rsidR="00FE1EFF" w:rsidRDefault="00FF4712" w:rsidP="00412662">
      <w:pPr>
        <w:pStyle w:val="Heading1"/>
      </w:pPr>
      <w:r w:rsidRPr="00465F9B">
        <w:t xml:space="preserve">This Order will cease to have effect if the </w:t>
      </w:r>
      <w:r>
        <w:t>D</w:t>
      </w:r>
      <w:r w:rsidRPr="00465F9B">
        <w:t xml:space="preserve">efendant provides </w:t>
      </w:r>
      <w:r>
        <w:t>sufficient alternative security in a form and amount as determined by this Court</w:t>
      </w:r>
      <w:r w:rsidRPr="00465F9B">
        <w:t xml:space="preserve"> or </w:t>
      </w:r>
      <w:r>
        <w:t>agreed to by the Plaintiff and the Defendant.</w:t>
      </w:r>
      <w:r>
        <w:rPr>
          <w:rStyle w:val="EndnoteReference"/>
        </w:rPr>
        <w:endnoteReference w:id="22"/>
      </w:r>
    </w:p>
    <w:p w:rsidR="00FE1EFF" w:rsidRDefault="00FF4712" w:rsidP="00EB76C7">
      <w:pPr>
        <w:pStyle w:val="Heading1"/>
        <w:numPr>
          <w:ilvl w:val="0"/>
          <w:numId w:val="0"/>
        </w:numPr>
        <w:ind w:left="720" w:hanging="720"/>
      </w:pPr>
      <w:r>
        <w:rPr>
          <w:b/>
        </w:rPr>
        <w:t xml:space="preserve">Enforcement of this Order </w:t>
      </w:r>
    </w:p>
    <w:p w:rsidR="00FE1EFF" w:rsidRDefault="00FF4712" w:rsidP="00153B11">
      <w:pPr>
        <w:pStyle w:val="Heading1"/>
      </w:pPr>
      <w:r>
        <w:t xml:space="preserve">The Defendant, and any person who has possession or control of any </w:t>
      </w:r>
      <w:proofErr w:type="spellStart"/>
      <w:r>
        <w:t>exigible</w:t>
      </w:r>
      <w:proofErr w:type="spellEnd"/>
      <w:r>
        <w:t xml:space="preserve"> property in which the Defendant has any interest, shall, upon demand by Counsel for the Plaintiff, deliver that </w:t>
      </w:r>
      <w:r>
        <w:lastRenderedPageBreak/>
        <w:t>property up to any civil enforcement agent as retained by the Plaintiff for the purposes of enforcement of this Order.</w:t>
      </w:r>
      <w:r>
        <w:rPr>
          <w:rStyle w:val="EndnoteReference"/>
        </w:rPr>
        <w:endnoteReference w:id="23"/>
      </w:r>
    </w:p>
    <w:p w:rsidR="00FE1EFF" w:rsidRDefault="00FF4712" w:rsidP="00EF24A2">
      <w:pPr>
        <w:pStyle w:val="Heading1"/>
      </w:pPr>
      <w:r>
        <w:t xml:space="preserve">On request of Counsel for the Plaintiff, the Clerk of the Court is authorized and directed to issue garnishee summons as may be requested respecting any </w:t>
      </w:r>
      <w:proofErr w:type="spellStart"/>
      <w:r>
        <w:t>exigible</w:t>
      </w:r>
      <w:proofErr w:type="spellEnd"/>
      <w:r>
        <w:t xml:space="preserve"> property in which the Defendant has any interest.</w:t>
      </w:r>
      <w:r>
        <w:rPr>
          <w:rStyle w:val="EndnoteReference"/>
        </w:rPr>
        <w:endnoteReference w:id="24"/>
      </w:r>
    </w:p>
    <w:p w:rsidR="00FE1EFF" w:rsidRDefault="00FF4712" w:rsidP="00EB76C7">
      <w:pPr>
        <w:pStyle w:val="Heading1"/>
      </w:pPr>
      <w:r>
        <w:t>This Order may be registered with the Personal Property Registry.</w:t>
      </w:r>
      <w:r>
        <w:rPr>
          <w:rStyle w:val="EndnoteReference"/>
        </w:rPr>
        <w:endnoteReference w:id="25"/>
      </w:r>
    </w:p>
    <w:p w:rsidR="00FE1EFF" w:rsidRPr="00EB76C7" w:rsidRDefault="00FF4712" w:rsidP="00E71848">
      <w:pPr>
        <w:pStyle w:val="Heading1"/>
      </w:pPr>
      <w:r>
        <w:t>The Registrar for the South Alberta Land Registration District and the Registrar for the North Alberta Land Registration District shall cause a copy of this Order to be registered against title to lands owned in whole or in part, whether directly or indirectly, by the Defendant.</w:t>
      </w:r>
      <w:r>
        <w:rPr>
          <w:rStyle w:val="EndnoteReference"/>
        </w:rPr>
        <w:endnoteReference w:id="26"/>
      </w:r>
    </w:p>
    <w:p w:rsidR="00FE1EFF" w:rsidRDefault="00FF4712" w:rsidP="00801CF9">
      <w:pPr>
        <w:pStyle w:val="Heading1"/>
        <w:numPr>
          <w:ilvl w:val="0"/>
          <w:numId w:val="0"/>
        </w:numPr>
        <w:ind w:left="720" w:hanging="720"/>
        <w:rPr>
          <w:b/>
        </w:rPr>
      </w:pPr>
      <w:r>
        <w:rPr>
          <w:b/>
        </w:rPr>
        <w:t>No Writ Proceedings</w:t>
      </w:r>
    </w:p>
    <w:p w:rsidR="00FE1EFF" w:rsidRDefault="00FF4712" w:rsidP="00F63456">
      <w:pPr>
        <w:pStyle w:val="Heading1"/>
        <w:rPr>
          <w:sz w:val="24"/>
        </w:rPr>
      </w:pPr>
      <w:r>
        <w:t xml:space="preserve">Pursuant to s. 24(2) of the </w:t>
      </w:r>
      <w:r>
        <w:rPr>
          <w:i/>
        </w:rPr>
        <w:t>Civil Enforcement Act</w:t>
      </w:r>
      <w:r>
        <w:t xml:space="preserve">, until such time as this Order terminates no writ proceedings against any property that is subject to this Order shall be commenced or continued without leave of the Court, which shall be obtained on notice to </w:t>
      </w:r>
      <w:r>
        <w:rPr>
          <w:szCs w:val="24"/>
        </w:rPr>
        <w:t>the Plaintiff</w:t>
      </w:r>
      <w:r>
        <w:t xml:space="preserve"> pursuant to paragraph 16.</w:t>
      </w:r>
    </w:p>
    <w:p w:rsidR="00FE1EFF" w:rsidRDefault="00FF4712" w:rsidP="00801CF9">
      <w:pPr>
        <w:pStyle w:val="Heading1"/>
        <w:numPr>
          <w:ilvl w:val="0"/>
          <w:numId w:val="0"/>
        </w:numPr>
        <w:ind w:left="720" w:hanging="720"/>
      </w:pPr>
      <w:r>
        <w:rPr>
          <w:b/>
        </w:rPr>
        <w:t xml:space="preserve">Variation or Discharge of this Order </w:t>
      </w:r>
    </w:p>
    <w:p w:rsidR="00FE1EFF" w:rsidRDefault="00FF4712" w:rsidP="00F104BE">
      <w:pPr>
        <w:pStyle w:val="Heading1"/>
      </w:pPr>
      <w:r>
        <w:t>Any interested person may apply to the Court at any time to vary or discharge this Order</w:t>
      </w:r>
      <w:r>
        <w:rPr>
          <w:rStyle w:val="EndnoteReference"/>
        </w:rPr>
        <w:endnoteReference w:id="27"/>
      </w:r>
      <w:r>
        <w:t xml:space="preserve"> on giving no less than 24 hours' notice to the Plaintiff's solicitor of his or her intention to do so, but this Order will remain in force until further Order even if such an application is pending.</w:t>
      </w:r>
    </w:p>
    <w:p w:rsidR="00FE1EFF" w:rsidRDefault="00FF4712" w:rsidP="00861DCE">
      <w:pPr>
        <w:pStyle w:val="Heading1"/>
      </w:pPr>
      <w:r>
        <w:t>All applications to vary or discharge this Order, or arising out of the issuance or enforcement of this Order, shall be heard by the Judge who issued this Order unless otherwise directed by the Judge.</w:t>
      </w:r>
      <w:r>
        <w:rPr>
          <w:rStyle w:val="EndnoteReference"/>
        </w:rPr>
        <w:endnoteReference w:id="28"/>
      </w:r>
    </w:p>
    <w:p w:rsidR="00F63456" w:rsidRDefault="00FF4712" w:rsidP="00F63456">
      <w:pPr>
        <w:pStyle w:val="Heading1"/>
        <w:rPr>
          <w:sz w:val="24"/>
        </w:rPr>
      </w:pPr>
      <w:r>
        <w:t>Costs of this application may be spoken to upon further application before this Court.</w:t>
      </w:r>
    </w:p>
    <w:p w:rsidR="00060C63" w:rsidRDefault="00417981" w:rsidP="00B973FC"/>
    <w:p w:rsidR="00060C63" w:rsidRDefault="00417981" w:rsidP="00EB76C7"/>
    <w:p w:rsidR="00060C63" w:rsidRPr="00060C63" w:rsidRDefault="00417981" w:rsidP="00B973FC"/>
    <w:tbl>
      <w:tblPr>
        <w:tblW w:w="9981" w:type="dxa"/>
        <w:tblLook w:val="07E0" w:firstRow="1" w:lastRow="1" w:firstColumn="1" w:lastColumn="1" w:noHBand="1" w:noVBand="1"/>
      </w:tblPr>
      <w:tblGrid>
        <w:gridCol w:w="5310"/>
        <w:gridCol w:w="4671"/>
      </w:tblGrid>
      <w:tr w:rsidR="003F0242" w:rsidTr="008E7C95">
        <w:tc>
          <w:tcPr>
            <w:tcW w:w="5310" w:type="dxa"/>
            <w:tcBorders>
              <w:bottom w:val="single" w:sz="4" w:space="0" w:color="auto"/>
            </w:tcBorders>
            <w:shd w:val="clear" w:color="auto" w:fill="auto"/>
          </w:tcPr>
          <w:p w:rsidR="001D66DB" w:rsidRDefault="00417981" w:rsidP="00136EC9">
            <w:pPr>
              <w:pStyle w:val="BT15"/>
              <w:spacing w:after="0" w:line="240" w:lineRule="auto"/>
            </w:pPr>
          </w:p>
        </w:tc>
        <w:tc>
          <w:tcPr>
            <w:tcW w:w="4671" w:type="dxa"/>
            <w:shd w:val="clear" w:color="auto" w:fill="auto"/>
          </w:tcPr>
          <w:p w:rsidR="001D66DB" w:rsidRDefault="00417981" w:rsidP="00136EC9">
            <w:pPr>
              <w:pStyle w:val="BT15"/>
              <w:spacing w:after="0" w:line="240" w:lineRule="auto"/>
            </w:pPr>
          </w:p>
        </w:tc>
      </w:tr>
      <w:tr w:rsidR="003F0242" w:rsidTr="008E7C95">
        <w:trPr>
          <w:trHeight w:val="647"/>
        </w:trPr>
        <w:tc>
          <w:tcPr>
            <w:tcW w:w="5310" w:type="dxa"/>
            <w:tcBorders>
              <w:top w:val="single" w:sz="4" w:space="0" w:color="auto"/>
            </w:tcBorders>
            <w:shd w:val="clear" w:color="auto" w:fill="auto"/>
          </w:tcPr>
          <w:p w:rsidR="001D66DB" w:rsidRDefault="00FF4712" w:rsidP="00136EC9">
            <w:pPr>
              <w:pStyle w:val="BT15"/>
              <w:spacing w:after="0" w:line="240" w:lineRule="auto"/>
            </w:pPr>
            <w:r w:rsidRPr="008E7C95">
              <w:rPr>
                <w:sz w:val="24"/>
              </w:rPr>
              <w:t>Justice of the Court of Queen</w:t>
            </w:r>
            <w:r>
              <w:rPr>
                <w:sz w:val="24"/>
              </w:rPr>
              <w:t>'</w:t>
            </w:r>
            <w:r w:rsidRPr="008E7C95">
              <w:rPr>
                <w:sz w:val="24"/>
              </w:rPr>
              <w:t>s Bench of Alberta</w:t>
            </w:r>
          </w:p>
          <w:p w:rsidR="001D66DB" w:rsidRDefault="00417981" w:rsidP="00136EC9">
            <w:pPr>
              <w:pStyle w:val="BT15"/>
              <w:spacing w:after="0" w:line="240" w:lineRule="auto"/>
            </w:pPr>
          </w:p>
        </w:tc>
        <w:tc>
          <w:tcPr>
            <w:tcW w:w="4671" w:type="dxa"/>
            <w:shd w:val="clear" w:color="auto" w:fill="auto"/>
          </w:tcPr>
          <w:p w:rsidR="001D66DB" w:rsidRDefault="00417981" w:rsidP="00136EC9">
            <w:pPr>
              <w:pStyle w:val="BT15"/>
              <w:spacing w:after="0" w:line="240" w:lineRule="auto"/>
            </w:pPr>
          </w:p>
        </w:tc>
      </w:tr>
      <w:bookmarkEnd w:id="0"/>
    </w:tbl>
    <w:p w:rsidR="009412A5" w:rsidRDefault="00FF4712">
      <w:pPr>
        <w:jc w:val="left"/>
      </w:pPr>
      <w:r>
        <w:br w:type="page"/>
      </w:r>
    </w:p>
    <w:p w:rsidR="009412A5" w:rsidRDefault="00FF4712" w:rsidP="009412A5">
      <w:pPr>
        <w:pStyle w:val="BodyText"/>
        <w:jc w:val="center"/>
        <w:rPr>
          <w:b/>
        </w:rPr>
      </w:pPr>
      <w:r>
        <w:rPr>
          <w:b/>
        </w:rPr>
        <w:lastRenderedPageBreak/>
        <w:t>Schedule "A"</w:t>
      </w:r>
      <w:r>
        <w:t xml:space="preserve"> – </w:t>
      </w:r>
      <w:r w:rsidRPr="009412A5">
        <w:rPr>
          <w:b/>
        </w:rPr>
        <w:t>Undertaking as to Damages</w:t>
      </w:r>
    </w:p>
    <w:tbl>
      <w:tblPr>
        <w:tblW w:w="9648" w:type="dxa"/>
        <w:tblLook w:val="06A0" w:firstRow="1" w:lastRow="0" w:firstColumn="1" w:lastColumn="0" w:noHBand="1" w:noVBand="1"/>
      </w:tblPr>
      <w:tblGrid>
        <w:gridCol w:w="2808"/>
        <w:gridCol w:w="360"/>
        <w:gridCol w:w="3940"/>
        <w:gridCol w:w="300"/>
        <w:gridCol w:w="2240"/>
      </w:tblGrid>
      <w:tr w:rsidR="003F0242" w:rsidTr="00CC21DA">
        <w:trPr>
          <w:gridAfter w:val="1"/>
          <w:wAfter w:w="2240" w:type="dxa"/>
        </w:trPr>
        <w:tc>
          <w:tcPr>
            <w:tcW w:w="2808" w:type="dxa"/>
          </w:tcPr>
          <w:p w:rsidR="0086416C" w:rsidRDefault="00FF4712" w:rsidP="00CC21DA">
            <w:pPr>
              <w:pStyle w:val="BodyText"/>
              <w:spacing w:after="0" w:line="240" w:lineRule="auto"/>
            </w:pPr>
            <w:r>
              <w:t>COURT FILE NUMBER</w:t>
            </w:r>
          </w:p>
        </w:tc>
        <w:tc>
          <w:tcPr>
            <w:tcW w:w="4600" w:type="dxa"/>
            <w:gridSpan w:val="3"/>
          </w:tcPr>
          <w:p w:rsidR="0086416C" w:rsidRDefault="00FF4712" w:rsidP="00CC21DA">
            <w:pPr>
              <w:pStyle w:val="subsection1"/>
              <w:keepNext/>
              <w:spacing w:before="0" w:after="240" w:line="240" w:lineRule="auto"/>
              <w:ind w:left="0"/>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r>
              <w:rPr>
                <w:b/>
                <w:noProof/>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2915920</wp:posOffset>
                      </wp:positionH>
                      <wp:positionV relativeFrom="paragraph">
                        <wp:posOffset>12700</wp:posOffset>
                      </wp:positionV>
                      <wp:extent cx="1497965" cy="10636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063625"/>
                              </a:xfrm>
                              <a:prstGeom prst="rect">
                                <a:avLst/>
                              </a:prstGeom>
                              <a:solidFill>
                                <a:srgbClr val="FFFFFF"/>
                              </a:solidFill>
                              <a:ln w="9525">
                                <a:solidFill>
                                  <a:srgbClr val="BFBFBF"/>
                                </a:solidFill>
                                <a:miter lim="800000"/>
                                <a:headEnd/>
                                <a:tailEnd/>
                              </a:ln>
                            </wps:spPr>
                            <wps:txbx>
                              <w:txbxContent>
                                <w:p w:rsidR="00C13988" w:rsidRDefault="00FF4712" w:rsidP="0086416C">
                                  <w:pPr>
                                    <w:jc w:val="center"/>
                                    <w:rPr>
                                      <w:sz w:val="20"/>
                                    </w:rPr>
                                  </w:pPr>
                                  <w:r>
                                    <w:rPr>
                                      <w:sz w:val="20"/>
                                    </w:rPr>
                                    <w:t>Clerk's Stamp</w:t>
                                  </w:r>
                                </w:p>
                                <w:p w:rsidR="00C13988" w:rsidRDefault="00417981" w:rsidP="0086416C">
                                  <w:pPr>
                                    <w:jc w:val="center"/>
                                  </w:pPr>
                                </w:p>
                                <w:p w:rsidR="00C13988" w:rsidRDefault="00417981" w:rsidP="0086416C">
                                  <w:pPr>
                                    <w:jc w:val="center"/>
                                  </w:pPr>
                                </w:p>
                                <w:p w:rsidR="00C13988" w:rsidRDefault="00417981" w:rsidP="0086416C">
                                  <w:pPr>
                                    <w:jc w:val="center"/>
                                  </w:pPr>
                                </w:p>
                              </w:txbxContent>
                            </wps:txbx>
                            <wps:bodyPr rot="0" vert="horz" wrap="square" anchor="t" anchorCtr="0" upright="1"/>
                          </wps:wsp>
                        </a:graphicData>
                      </a:graphic>
                    </wp:anchor>
                  </w:drawing>
                </mc:Choice>
                <mc:Fallback>
                  <w:pict>
                    <v:shape id="_x0000_s1027" type="#_x0000_t202" style="position:absolute;margin-left:229.6pt;margin-top:1pt;width:117.95pt;height:8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" strokecolor="#bfbfbf">
                      <v:textbox>
                        <w:txbxContent>
                          <w:p w:rsidR="00C13988" w:rsidRDefault="00FF4712" w:rsidP="0086416C">
                            <w:pPr>
                              <w:jc w:val="center"/>
                              <w:rPr>
                                <w:sz w:val="20"/>
                              </w:rPr>
                            </w:pPr>
                            <w:r>
                              <w:rPr>
                                <w:sz w:val="20"/>
                              </w:rPr>
                              <w:t>Clerk's Stamp</w:t>
                            </w:r>
                          </w:p>
                          <w:p w:rsidR="00C13988" w:rsidRDefault="00417981" w:rsidP="0086416C">
                            <w:pPr>
                              <w:jc w:val="center"/>
                            </w:pPr>
                          </w:p>
                          <w:p w:rsidR="00C13988" w:rsidRDefault="00417981" w:rsidP="0086416C">
                            <w:pPr>
                              <w:jc w:val="center"/>
                            </w:pPr>
                          </w:p>
                          <w:p w:rsidR="00C13988" w:rsidRDefault="00417981" w:rsidP="0086416C">
                            <w:pPr>
                              <w:jc w:val="center"/>
                            </w:pPr>
                          </w:p>
                        </w:txbxContent>
                      </v:textbox>
                    </v:shape>
                  </w:pict>
                </mc:Fallback>
              </mc:AlternateContent>
            </w:r>
          </w:p>
        </w:tc>
      </w:tr>
      <w:tr w:rsidR="003F0242" w:rsidTr="00CC21DA">
        <w:trPr>
          <w:gridAfter w:val="1"/>
          <w:wAfter w:w="2240" w:type="dxa"/>
        </w:trPr>
        <w:tc>
          <w:tcPr>
            <w:tcW w:w="2808" w:type="dxa"/>
          </w:tcPr>
          <w:p w:rsidR="0086416C" w:rsidRDefault="00FF4712" w:rsidP="00CC21DA">
            <w:pPr>
              <w:pStyle w:val="BodyText"/>
              <w:spacing w:after="0" w:line="240" w:lineRule="auto"/>
            </w:pPr>
            <w:r>
              <w:t>COURT</w:t>
            </w:r>
          </w:p>
        </w:tc>
        <w:tc>
          <w:tcPr>
            <w:tcW w:w="4600" w:type="dxa"/>
            <w:gridSpan w:val="3"/>
          </w:tcPr>
          <w:p w:rsidR="0086416C" w:rsidRDefault="00FF4712" w:rsidP="00CC21DA">
            <w:pPr>
              <w:pStyle w:val="BodyText"/>
              <w:spacing w:line="240" w:lineRule="auto"/>
              <w:jc w:val="left"/>
            </w:pPr>
            <w:r>
              <w:rPr>
                <w:color w:val="000000"/>
              </w:rPr>
              <w:t>COURT OF QUEEN'S BENCH OF ALBERTA</w:t>
            </w:r>
          </w:p>
        </w:tc>
      </w:tr>
      <w:tr w:rsidR="003F0242" w:rsidTr="00CC21DA">
        <w:trPr>
          <w:gridAfter w:val="1"/>
          <w:wAfter w:w="2240" w:type="dxa"/>
        </w:trPr>
        <w:tc>
          <w:tcPr>
            <w:tcW w:w="2808" w:type="dxa"/>
          </w:tcPr>
          <w:p w:rsidR="0086416C" w:rsidRDefault="00FF4712" w:rsidP="00CC21DA">
            <w:pPr>
              <w:pStyle w:val="BodyText"/>
              <w:spacing w:after="0" w:line="240" w:lineRule="auto"/>
            </w:pPr>
            <w:r>
              <w:rPr>
                <w:color w:val="000000"/>
              </w:rPr>
              <w:t>JUDICIAL CENTRE</w:t>
            </w:r>
          </w:p>
        </w:tc>
        <w:tc>
          <w:tcPr>
            <w:tcW w:w="4600" w:type="dxa"/>
            <w:gridSpan w:val="3"/>
          </w:tcPr>
          <w:p w:rsidR="0086416C" w:rsidRDefault="00FF4712" w:rsidP="00CC21DA">
            <w:pPr>
              <w:pStyle w:val="BodyText"/>
              <w:spacing w:line="240" w:lineRule="auto"/>
              <w:jc w:val="left"/>
            </w:pPr>
            <w:r>
              <w:rPr>
                <w:b/>
              </w:rPr>
              <w:fldChar w:fldCharType="begin">
                <w:ffData>
                  <w:name w:val="Text4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F0242" w:rsidTr="00CC21DA">
        <w:trPr>
          <w:gridAfter w:val="1"/>
          <w:wAfter w:w="2240" w:type="dxa"/>
        </w:trPr>
        <w:tc>
          <w:tcPr>
            <w:tcW w:w="2808" w:type="dxa"/>
          </w:tcPr>
          <w:p w:rsidR="0086416C" w:rsidRDefault="00FF4712" w:rsidP="00CC21DA">
            <w:pPr>
              <w:pStyle w:val="BodyText"/>
              <w:spacing w:after="0" w:line="240" w:lineRule="auto"/>
              <w:rPr>
                <w:color w:val="000000"/>
              </w:rPr>
            </w:pPr>
            <w:r>
              <w:rPr>
                <w:color w:val="000000"/>
              </w:rPr>
              <w:t>PLAINTIFF(S)</w:t>
            </w:r>
          </w:p>
        </w:tc>
        <w:tc>
          <w:tcPr>
            <w:tcW w:w="4600" w:type="dxa"/>
            <w:gridSpan w:val="3"/>
          </w:tcPr>
          <w:p w:rsidR="0086416C" w:rsidRDefault="00FF4712" w:rsidP="00CC21DA">
            <w:pPr>
              <w:pStyle w:val="BodyText"/>
              <w:spacing w:line="240" w:lineRule="auto"/>
              <w:jc w:val="left"/>
              <w:rPr>
                <w:b/>
              </w:rPr>
            </w:pPr>
            <w:r>
              <w:rPr>
                <w:b/>
              </w:rPr>
              <w:fldChar w:fldCharType="begin">
                <w:ffData>
                  <w:name w:val="Text4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F0242" w:rsidTr="00CC21DA">
        <w:trPr>
          <w:gridAfter w:val="1"/>
          <w:wAfter w:w="2240" w:type="dxa"/>
        </w:trPr>
        <w:tc>
          <w:tcPr>
            <w:tcW w:w="2808" w:type="dxa"/>
          </w:tcPr>
          <w:p w:rsidR="0086416C" w:rsidRDefault="00FF4712" w:rsidP="00CC21DA">
            <w:pPr>
              <w:pStyle w:val="BodyText"/>
              <w:spacing w:after="0" w:line="240" w:lineRule="auto"/>
            </w:pPr>
            <w:r>
              <w:rPr>
                <w:color w:val="000000"/>
              </w:rPr>
              <w:t>DEFENDANT(S)</w:t>
            </w:r>
          </w:p>
        </w:tc>
        <w:tc>
          <w:tcPr>
            <w:tcW w:w="4600" w:type="dxa"/>
            <w:gridSpan w:val="3"/>
          </w:tcPr>
          <w:p w:rsidR="0086416C" w:rsidRDefault="00FF4712" w:rsidP="00CC21DA">
            <w:pPr>
              <w:pStyle w:val="BodyText"/>
              <w:spacing w:line="240" w:lineRule="auto"/>
              <w:jc w:val="left"/>
            </w:pPr>
            <w:r>
              <w:rPr>
                <w:b/>
              </w:rPr>
              <w:fldChar w:fldCharType="begin">
                <w:ffData>
                  <w:name w:val="Text4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F0242" w:rsidTr="00CC21DA">
        <w:trPr>
          <w:gridAfter w:val="1"/>
          <w:wAfter w:w="2240" w:type="dxa"/>
        </w:trPr>
        <w:tc>
          <w:tcPr>
            <w:tcW w:w="2808" w:type="dxa"/>
          </w:tcPr>
          <w:p w:rsidR="0086416C" w:rsidRDefault="00FF4712" w:rsidP="00CC21DA">
            <w:pPr>
              <w:pStyle w:val="BodyText"/>
              <w:spacing w:after="0" w:line="240" w:lineRule="auto"/>
            </w:pPr>
            <w:r>
              <w:rPr>
                <w:color w:val="000000"/>
              </w:rPr>
              <w:t xml:space="preserve">DOCUMENT </w:t>
            </w:r>
          </w:p>
        </w:tc>
        <w:tc>
          <w:tcPr>
            <w:tcW w:w="4600" w:type="dxa"/>
            <w:gridSpan w:val="3"/>
          </w:tcPr>
          <w:p w:rsidR="0086416C" w:rsidRDefault="00FF4712" w:rsidP="00CC21DA">
            <w:pPr>
              <w:pStyle w:val="BodyText"/>
              <w:spacing w:line="240" w:lineRule="auto"/>
              <w:jc w:val="left"/>
              <w:rPr>
                <w:b/>
                <w:sz w:val="28"/>
                <w:szCs w:val="28"/>
              </w:rPr>
            </w:pPr>
            <w:r>
              <w:rPr>
                <w:b/>
                <w:sz w:val="28"/>
                <w:szCs w:val="28"/>
              </w:rPr>
              <w:t>UNDERTAKING BY PLAINTIFF(S)</w:t>
            </w:r>
          </w:p>
        </w:tc>
      </w:tr>
      <w:tr w:rsidR="003F0242" w:rsidTr="00CC21DA">
        <w:trPr>
          <w:trHeight w:val="880"/>
        </w:trPr>
        <w:tc>
          <w:tcPr>
            <w:tcW w:w="3168" w:type="dxa"/>
            <w:gridSpan w:val="2"/>
          </w:tcPr>
          <w:p w:rsidR="0086416C" w:rsidRDefault="00FF4712" w:rsidP="00CC21DA">
            <w:pPr>
              <w:pStyle w:val="subsection1"/>
              <w:keepNext/>
              <w:ind w:left="0"/>
            </w:pPr>
            <w:r>
              <w:rPr>
                <w:color w:val="000000"/>
                <w:lang w:val="en-CA"/>
              </w:rPr>
              <w:t>ADDRESS FOR SERVICE AND</w:t>
            </w:r>
          </w:p>
          <w:p w:rsidR="0086416C" w:rsidRDefault="00FF4712" w:rsidP="00CC21DA">
            <w:pPr>
              <w:pStyle w:val="section1"/>
              <w:keepNext/>
              <w:spacing w:before="240"/>
              <w:ind w:left="0"/>
            </w:pPr>
            <w:r>
              <w:rPr>
                <w:color w:val="000000"/>
                <w:lang w:val="en-CA"/>
              </w:rPr>
              <w:t>CONTACT INFORMATION OF</w:t>
            </w:r>
          </w:p>
          <w:p w:rsidR="0086416C" w:rsidRDefault="00FF4712" w:rsidP="00CC21DA">
            <w:pPr>
              <w:pStyle w:val="section1"/>
              <w:keepNext/>
              <w:spacing w:before="240"/>
              <w:ind w:left="0"/>
              <w:rPr>
                <w:color w:val="000000"/>
                <w:lang w:val="en-CA"/>
              </w:rPr>
            </w:pPr>
            <w:r>
              <w:rPr>
                <w:color w:val="000000"/>
                <w:lang w:val="en-CA"/>
              </w:rPr>
              <w:t xml:space="preserve">PARTY FILING THIS </w:t>
            </w:r>
          </w:p>
          <w:p w:rsidR="0086416C" w:rsidRDefault="00FF4712" w:rsidP="00CC21DA">
            <w:pPr>
              <w:pStyle w:val="section1"/>
              <w:keepNext/>
              <w:spacing w:before="240"/>
              <w:ind w:left="0"/>
              <w:rPr>
                <w:sz w:val="22"/>
                <w:szCs w:val="22"/>
              </w:rPr>
            </w:pPr>
            <w:r>
              <w:rPr>
                <w:color w:val="000000"/>
                <w:lang w:val="en-CA"/>
              </w:rPr>
              <w:t>DOCUMENT</w:t>
            </w:r>
          </w:p>
        </w:tc>
        <w:tc>
          <w:tcPr>
            <w:tcW w:w="3940" w:type="dxa"/>
          </w:tcPr>
          <w:p w:rsidR="0086416C" w:rsidRDefault="00417981" w:rsidP="00CC21DA">
            <w:pPr>
              <w:pStyle w:val="subsection1"/>
              <w:keepNext/>
              <w:spacing w:before="0"/>
              <w:ind w:left="0"/>
              <w:rPr>
                <w:sz w:val="22"/>
                <w:szCs w:val="22"/>
              </w:rPr>
            </w:pPr>
          </w:p>
          <w:p w:rsidR="0086416C" w:rsidRDefault="00417981" w:rsidP="00CC21DA">
            <w:pPr>
              <w:pStyle w:val="subsection1"/>
              <w:keepNext/>
              <w:ind w:left="0"/>
              <w:rPr>
                <w:sz w:val="22"/>
                <w:szCs w:val="22"/>
              </w:rPr>
            </w:pPr>
          </w:p>
        </w:tc>
        <w:tc>
          <w:tcPr>
            <w:tcW w:w="2540" w:type="dxa"/>
            <w:gridSpan w:val="2"/>
          </w:tcPr>
          <w:p w:rsidR="0086416C" w:rsidRPr="00B40864" w:rsidRDefault="00417981" w:rsidP="00CC21DA">
            <w:pPr>
              <w:pStyle w:val="subsection1"/>
              <w:keepNext/>
              <w:ind w:left="0"/>
              <w:rPr>
                <w:sz w:val="22"/>
                <w:szCs w:val="22"/>
              </w:rPr>
            </w:pPr>
          </w:p>
        </w:tc>
      </w:tr>
    </w:tbl>
    <w:p w:rsidR="009412A5" w:rsidRDefault="00417981">
      <w:pPr>
        <w:jc w:val="left"/>
        <w:rPr>
          <w:b/>
        </w:rPr>
      </w:pPr>
    </w:p>
    <w:p w:rsidR="0086416C" w:rsidRDefault="00417981" w:rsidP="0086416C">
      <w:pPr>
        <w:jc w:val="left"/>
        <w:rPr>
          <w:b/>
          <w:lang w:val="en-US"/>
        </w:rPr>
      </w:pPr>
    </w:p>
    <w:p w:rsidR="0086416C" w:rsidRDefault="00FF4712" w:rsidP="0086416C">
      <w:pPr>
        <w:rPr>
          <w:lang w:val="en-US"/>
        </w:rPr>
      </w:pPr>
      <w:r>
        <w:rPr>
          <w:lang w:val="en-US"/>
        </w:rPr>
        <w:t xml:space="preserve">I, </w:t>
      </w:r>
      <w:r w:rsidRPr="002D5C9C">
        <w:rPr>
          <w:lang w:val="en-US"/>
        </w:rPr>
        <w:t>[</w:t>
      </w:r>
      <w:r w:rsidRPr="002D5C9C">
        <w:rPr>
          <w:shd w:val="clear" w:color="auto" w:fill="D9D9D9" w:themeFill="background1" w:themeFillShade="D9"/>
          <w:lang w:val="en-US"/>
        </w:rPr>
        <w:t>name of person or of person authorized by corporate plaintiff to give undertaking</w:t>
      </w:r>
      <w:r w:rsidRPr="002D5C9C">
        <w:rPr>
          <w:lang w:val="en-US"/>
        </w:rPr>
        <w:t>],</w:t>
      </w:r>
      <w:r>
        <w:rPr>
          <w:lang w:val="en-US"/>
        </w:rPr>
        <w:t xml:space="preserve"> undertake </w:t>
      </w:r>
      <w:r w:rsidRPr="002D5C9C">
        <w:rPr>
          <w:lang w:val="en-US"/>
        </w:rPr>
        <w:t>[</w:t>
      </w:r>
      <w:r w:rsidRPr="002D5C9C">
        <w:rPr>
          <w:shd w:val="clear" w:color="auto" w:fill="D9D9D9" w:themeFill="background1" w:themeFillShade="D9"/>
          <w:lang w:val="en-US"/>
        </w:rPr>
        <w:t>or I am authorized by the corporate plaintiff to give its undertaking and it does hereby undertake</w:t>
      </w:r>
      <w:r w:rsidRPr="002D5C9C">
        <w:rPr>
          <w:lang w:val="en-US"/>
        </w:rPr>
        <w:t>] to</w:t>
      </w:r>
      <w:r>
        <w:rPr>
          <w:lang w:val="en-US"/>
        </w:rPr>
        <w:t xml:space="preserve"> </w:t>
      </w:r>
      <w:r w:rsidRPr="002D5C9C">
        <w:rPr>
          <w:lang w:val="en-US"/>
        </w:rPr>
        <w:t>abide by any Order that this Court may make as to damages</w:t>
      </w:r>
      <w:r>
        <w:rPr>
          <w:lang w:val="en-US"/>
        </w:rPr>
        <w:t xml:space="preserve"> in the event that the Court</w:t>
      </w:r>
      <w:r w:rsidRPr="002D5C9C">
        <w:rPr>
          <w:lang w:val="en-US"/>
        </w:rPr>
        <w:t xml:space="preserve"> is hereafter of the opinion that </w:t>
      </w:r>
      <w:r>
        <w:rPr>
          <w:lang w:val="en-US"/>
        </w:rPr>
        <w:t xml:space="preserve">the defendant, or any other person served with this Order, has sustained damages by reason of this Order which the Plaintiff is liable to pay. </w:t>
      </w:r>
    </w:p>
    <w:p w:rsidR="0086416C" w:rsidRDefault="00417981" w:rsidP="0086416C">
      <w:pPr>
        <w:rPr>
          <w:bCs/>
          <w:lang w:val="en-US"/>
        </w:rPr>
      </w:pPr>
    </w:p>
    <w:p w:rsidR="0086416C" w:rsidRPr="0086416C" w:rsidRDefault="00FF4712" w:rsidP="0086416C">
      <w:pPr>
        <w:rPr>
          <w:lang w:val="en-US"/>
        </w:rPr>
      </w:pPr>
      <w:r w:rsidRPr="0086416C">
        <w:rPr>
          <w:bCs/>
          <w:lang w:val="en-US"/>
        </w:rPr>
        <w:t xml:space="preserve">DATED </w:t>
      </w:r>
      <w:r w:rsidRPr="0086416C">
        <w:rPr>
          <w:lang w:val="en-US"/>
        </w:rPr>
        <w:t xml:space="preserve">at the </w:t>
      </w:r>
      <w:r>
        <w:rPr>
          <w:lang w:val="en-US"/>
        </w:rPr>
        <w:t>_________</w:t>
      </w:r>
      <w:r w:rsidRPr="0086416C">
        <w:rPr>
          <w:lang w:val="en-US"/>
        </w:rPr>
        <w:t>of</w:t>
      </w:r>
      <w:r>
        <w:rPr>
          <w:lang w:val="en-US"/>
        </w:rPr>
        <w:t>______</w:t>
      </w:r>
      <w:r w:rsidRPr="0086416C">
        <w:rPr>
          <w:lang w:val="en-US"/>
        </w:rPr>
        <w:t>, in the Pro</w:t>
      </w:r>
      <w:r>
        <w:rPr>
          <w:lang w:val="en-US"/>
        </w:rPr>
        <w:t xml:space="preserve">vince of Alberta, this _____ </w:t>
      </w:r>
      <w:r w:rsidRPr="0086416C">
        <w:rPr>
          <w:lang w:val="en-US"/>
        </w:rPr>
        <w:t xml:space="preserve">day of </w:t>
      </w:r>
      <w:r>
        <w:rPr>
          <w:lang w:val="en-US"/>
        </w:rPr>
        <w:t>[</w:t>
      </w:r>
      <w:r w:rsidRPr="002D5C9C">
        <w:rPr>
          <w:shd w:val="clear" w:color="auto" w:fill="D9D9D9" w:themeFill="background1" w:themeFillShade="D9"/>
          <w:lang w:val="en-US"/>
        </w:rPr>
        <w:t>month]</w:t>
      </w:r>
      <w:r>
        <w:rPr>
          <w:lang w:val="en-US"/>
        </w:rPr>
        <w:t>, [</w:t>
      </w:r>
      <w:r w:rsidRPr="002D5C9C">
        <w:rPr>
          <w:shd w:val="clear" w:color="auto" w:fill="D9D9D9" w:themeFill="background1" w:themeFillShade="D9"/>
          <w:lang w:val="en-US"/>
        </w:rPr>
        <w:t>year</w:t>
      </w:r>
      <w:r>
        <w:rPr>
          <w:lang w:val="en-US"/>
        </w:rPr>
        <w:t>]</w:t>
      </w:r>
      <w:r w:rsidRPr="0086416C">
        <w:rPr>
          <w:lang w:val="en-US"/>
        </w:rPr>
        <w:t>.</w:t>
      </w:r>
    </w:p>
    <w:tbl>
      <w:tblPr>
        <w:tblW w:w="0" w:type="auto"/>
        <w:tblLayout w:type="fixed"/>
        <w:tblCellMar>
          <w:left w:w="0" w:type="dxa"/>
          <w:right w:w="0" w:type="dxa"/>
        </w:tblCellMar>
        <w:tblLook w:val="0000" w:firstRow="0" w:lastRow="0" w:firstColumn="0" w:lastColumn="0" w:noHBand="0" w:noVBand="0"/>
      </w:tblPr>
      <w:tblGrid>
        <w:gridCol w:w="4068"/>
        <w:gridCol w:w="539"/>
        <w:gridCol w:w="4861"/>
      </w:tblGrid>
      <w:tr w:rsidR="003F0242">
        <w:trPr>
          <w:cantSplit/>
        </w:trPr>
        <w:tc>
          <w:tcPr>
            <w:tcW w:w="4068" w:type="dxa"/>
            <w:tcBorders>
              <w:top w:val="nil"/>
              <w:left w:val="nil"/>
              <w:bottom w:val="nil"/>
              <w:right w:val="nil"/>
            </w:tcBorders>
          </w:tcPr>
          <w:p w:rsidR="0086416C" w:rsidRPr="0086416C" w:rsidRDefault="00417981" w:rsidP="0086416C">
            <w:pPr>
              <w:jc w:val="left"/>
              <w:rPr>
                <w:b/>
                <w:lang w:val="en-US"/>
              </w:rPr>
            </w:pPr>
          </w:p>
        </w:tc>
        <w:tc>
          <w:tcPr>
            <w:tcW w:w="539" w:type="dxa"/>
            <w:tcBorders>
              <w:top w:val="nil"/>
              <w:left w:val="nil"/>
              <w:bottom w:val="nil"/>
              <w:right w:val="nil"/>
            </w:tcBorders>
          </w:tcPr>
          <w:p w:rsidR="0086416C" w:rsidRPr="0086416C" w:rsidRDefault="00417981" w:rsidP="0086416C">
            <w:pPr>
              <w:jc w:val="left"/>
              <w:rPr>
                <w:b/>
                <w:lang w:val="en-US"/>
              </w:rPr>
            </w:pPr>
          </w:p>
        </w:tc>
        <w:tc>
          <w:tcPr>
            <w:tcW w:w="4861" w:type="dxa"/>
            <w:tcBorders>
              <w:top w:val="nil"/>
              <w:left w:val="nil"/>
              <w:bottom w:val="nil"/>
              <w:right w:val="nil"/>
            </w:tcBorders>
          </w:tcPr>
          <w:p w:rsidR="002D5C9C" w:rsidRDefault="00FF4712" w:rsidP="0086416C">
            <w:pPr>
              <w:jc w:val="left"/>
              <w:rPr>
                <w:b/>
                <w:lang w:val="en-US"/>
              </w:rPr>
            </w:pPr>
            <w:r w:rsidRPr="0086416C">
              <w:rPr>
                <w:b/>
                <w:lang w:val="en-US"/>
              </w:rPr>
              <w:t xml:space="preserve"> </w:t>
            </w:r>
          </w:p>
          <w:p w:rsidR="0086416C" w:rsidRPr="0086416C" w:rsidRDefault="00FF4712" w:rsidP="0086416C">
            <w:pPr>
              <w:jc w:val="left"/>
              <w:rPr>
                <w:b/>
                <w:lang w:val="en-US"/>
              </w:rPr>
            </w:pPr>
            <w:r>
              <w:rPr>
                <w:b/>
                <w:lang w:val="en-US"/>
              </w:rPr>
              <w:t>●</w:t>
            </w:r>
          </w:p>
          <w:p w:rsidR="0086416C" w:rsidRPr="0086416C" w:rsidRDefault="00417981" w:rsidP="0086416C">
            <w:pPr>
              <w:jc w:val="left"/>
              <w:rPr>
                <w:b/>
                <w:lang w:val="en-US"/>
              </w:rPr>
            </w:pPr>
          </w:p>
          <w:p w:rsidR="0086416C" w:rsidRPr="0086416C" w:rsidRDefault="00417981" w:rsidP="0086416C">
            <w:pPr>
              <w:jc w:val="left"/>
              <w:rPr>
                <w:b/>
                <w:lang w:val="en-US"/>
              </w:rPr>
            </w:pPr>
          </w:p>
          <w:p w:rsidR="0086416C" w:rsidRPr="0086416C" w:rsidRDefault="00FF4712" w:rsidP="0086416C">
            <w:pPr>
              <w:jc w:val="left"/>
              <w:rPr>
                <w:b/>
                <w:lang w:val="en-US"/>
              </w:rPr>
            </w:pPr>
            <w:proofErr w:type="gramStart"/>
            <w:r>
              <w:rPr>
                <w:b/>
                <w:lang w:val="en-US"/>
              </w:rPr>
              <w:t>Per:_</w:t>
            </w:r>
            <w:proofErr w:type="gramEnd"/>
            <w:r>
              <w:rPr>
                <w:b/>
                <w:lang w:val="en-US"/>
              </w:rPr>
              <w:t>__</w:t>
            </w:r>
            <w:r w:rsidRPr="0086416C">
              <w:rPr>
                <w:b/>
                <w:lang w:val="en-US"/>
              </w:rPr>
              <w:t>_________________________________</w:t>
            </w:r>
          </w:p>
          <w:p w:rsidR="0086416C" w:rsidRPr="0086416C" w:rsidRDefault="00FF4712" w:rsidP="0086416C">
            <w:pPr>
              <w:jc w:val="left"/>
              <w:rPr>
                <w:b/>
                <w:bCs/>
                <w:lang w:val="en-US"/>
              </w:rPr>
            </w:pPr>
            <w:r w:rsidRPr="0086416C">
              <w:rPr>
                <w:b/>
                <w:bCs/>
                <w:lang w:val="en-US"/>
              </w:rPr>
              <w:t xml:space="preserve">       </w:t>
            </w:r>
            <w:r>
              <w:rPr>
                <w:b/>
                <w:bCs/>
                <w:lang w:val="en-US"/>
              </w:rPr>
              <w:t>●</w:t>
            </w:r>
          </w:p>
          <w:p w:rsidR="0086416C" w:rsidRPr="0086416C" w:rsidRDefault="00417981" w:rsidP="0086416C">
            <w:pPr>
              <w:jc w:val="left"/>
              <w:rPr>
                <w:b/>
                <w:bCs/>
                <w:lang w:val="en-US"/>
              </w:rPr>
            </w:pPr>
          </w:p>
        </w:tc>
      </w:tr>
    </w:tbl>
    <w:p w:rsidR="0086416C" w:rsidRPr="0086416C" w:rsidRDefault="00417981">
      <w:pPr>
        <w:jc w:val="left"/>
        <w:rPr>
          <w:b/>
          <w:lang w:val="en-US"/>
        </w:rPr>
      </w:pPr>
    </w:p>
    <w:p w:rsidR="000D5E8B" w:rsidRDefault="00FF4712">
      <w:pPr>
        <w:jc w:val="left"/>
        <w:rPr>
          <w:b/>
        </w:rPr>
      </w:pPr>
      <w:r>
        <w:rPr>
          <w:b/>
        </w:rPr>
        <w:br w:type="page"/>
      </w:r>
    </w:p>
    <w:p w:rsidR="000D5E8B" w:rsidRPr="000D5E8B" w:rsidRDefault="00FF4712" w:rsidP="000D5E8B">
      <w:pPr>
        <w:jc w:val="center"/>
        <w:rPr>
          <w:b/>
        </w:rPr>
      </w:pPr>
      <w:r w:rsidRPr="000D5E8B">
        <w:rPr>
          <w:b/>
        </w:rPr>
        <w:lastRenderedPageBreak/>
        <w:t xml:space="preserve">SCHEDULE </w:t>
      </w:r>
      <w:r>
        <w:rPr>
          <w:b/>
        </w:rPr>
        <w:t>"B"</w:t>
      </w:r>
    </w:p>
    <w:p w:rsidR="000D5E8B" w:rsidRDefault="00417981" w:rsidP="000D5E8B"/>
    <w:p w:rsidR="000D5E8B" w:rsidRPr="000D5E8B" w:rsidRDefault="00FF4712" w:rsidP="000D5E8B">
      <w:pPr>
        <w:rPr>
          <w:b/>
        </w:rPr>
      </w:pPr>
      <w:r w:rsidRPr="000D5E8B">
        <w:rPr>
          <w:b/>
        </w:rPr>
        <w:t>LIST OF ACCOUNTS</w:t>
      </w:r>
    </w:p>
    <w:p w:rsidR="000D5E8B" w:rsidRDefault="00417981" w:rsidP="000D5E8B">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2736"/>
        <w:gridCol w:w="2552"/>
        <w:gridCol w:w="2273"/>
      </w:tblGrid>
      <w:tr w:rsidR="003F0242" w:rsidTr="000D5E8B">
        <w:tc>
          <w:tcPr>
            <w:tcW w:w="1789" w:type="dxa"/>
          </w:tcPr>
          <w:p w:rsidR="000D5E8B" w:rsidRDefault="00FF4712" w:rsidP="00DC28AE">
            <w:pPr>
              <w:jc w:val="left"/>
              <w:rPr>
                <w:b/>
              </w:rPr>
            </w:pPr>
            <w:r>
              <w:rPr>
                <w:b/>
              </w:rPr>
              <w:t xml:space="preserve">Name(s) </w:t>
            </w:r>
          </w:p>
          <w:p w:rsidR="000D5E8B" w:rsidRDefault="00417981" w:rsidP="00DC28AE">
            <w:pPr>
              <w:jc w:val="left"/>
              <w:rPr>
                <w:b/>
              </w:rPr>
            </w:pPr>
          </w:p>
        </w:tc>
        <w:tc>
          <w:tcPr>
            <w:tcW w:w="2736" w:type="dxa"/>
          </w:tcPr>
          <w:p w:rsidR="000D5E8B" w:rsidRDefault="00FF4712" w:rsidP="00DC28AE">
            <w:pPr>
              <w:rPr>
                <w:b/>
              </w:rPr>
            </w:pPr>
            <w:r>
              <w:rPr>
                <w:b/>
              </w:rPr>
              <w:t>Bank</w:t>
            </w:r>
          </w:p>
        </w:tc>
        <w:tc>
          <w:tcPr>
            <w:tcW w:w="2552" w:type="dxa"/>
          </w:tcPr>
          <w:p w:rsidR="000D5E8B" w:rsidRDefault="00FF4712" w:rsidP="00DC28AE">
            <w:pPr>
              <w:rPr>
                <w:b/>
              </w:rPr>
            </w:pPr>
            <w:r>
              <w:rPr>
                <w:b/>
              </w:rPr>
              <w:t>Account Number</w:t>
            </w:r>
          </w:p>
        </w:tc>
        <w:tc>
          <w:tcPr>
            <w:tcW w:w="2273" w:type="dxa"/>
          </w:tcPr>
          <w:p w:rsidR="000D5E8B" w:rsidRDefault="00FF4712" w:rsidP="00DC28AE">
            <w:pPr>
              <w:rPr>
                <w:b/>
              </w:rPr>
            </w:pPr>
            <w:r>
              <w:rPr>
                <w:b/>
              </w:rPr>
              <w:t>Account Type</w:t>
            </w:r>
          </w:p>
        </w:tc>
      </w:tr>
      <w:tr w:rsidR="003F0242" w:rsidTr="000D5E8B">
        <w:tc>
          <w:tcPr>
            <w:tcW w:w="1789" w:type="dxa"/>
          </w:tcPr>
          <w:p w:rsidR="000D5E8B" w:rsidRDefault="00417981" w:rsidP="00DC28AE">
            <w:pPr>
              <w:jc w:val="left"/>
              <w:rPr>
                <w:szCs w:val="24"/>
              </w:rPr>
            </w:pPr>
          </w:p>
        </w:tc>
        <w:tc>
          <w:tcPr>
            <w:tcW w:w="2736" w:type="dxa"/>
          </w:tcPr>
          <w:p w:rsidR="000D5E8B" w:rsidRPr="007A49B1" w:rsidRDefault="00417981" w:rsidP="00DC28AE">
            <w:pPr>
              <w:jc w:val="left"/>
              <w:rPr>
                <w:szCs w:val="24"/>
                <w:lang w:val="fr-FR"/>
              </w:rPr>
            </w:pPr>
          </w:p>
        </w:tc>
        <w:tc>
          <w:tcPr>
            <w:tcW w:w="2552" w:type="dxa"/>
          </w:tcPr>
          <w:p w:rsidR="000D5E8B" w:rsidRDefault="00417981" w:rsidP="00DC28AE">
            <w:pPr>
              <w:rPr>
                <w:szCs w:val="24"/>
              </w:rPr>
            </w:pPr>
          </w:p>
        </w:tc>
        <w:tc>
          <w:tcPr>
            <w:tcW w:w="2273" w:type="dxa"/>
          </w:tcPr>
          <w:p w:rsidR="000D5E8B" w:rsidRDefault="00417981" w:rsidP="00DC28AE">
            <w:pPr>
              <w:rPr>
                <w:szCs w:val="24"/>
              </w:rPr>
            </w:pPr>
          </w:p>
        </w:tc>
      </w:tr>
      <w:tr w:rsidR="003F0242" w:rsidTr="000D5E8B">
        <w:tc>
          <w:tcPr>
            <w:tcW w:w="1789" w:type="dxa"/>
          </w:tcPr>
          <w:p w:rsidR="000D5E8B" w:rsidRDefault="00417981" w:rsidP="00DC28AE">
            <w:pPr>
              <w:jc w:val="left"/>
              <w:rPr>
                <w:szCs w:val="24"/>
              </w:rPr>
            </w:pPr>
          </w:p>
        </w:tc>
        <w:tc>
          <w:tcPr>
            <w:tcW w:w="2736" w:type="dxa"/>
          </w:tcPr>
          <w:p w:rsidR="000D5E8B" w:rsidRDefault="00417981" w:rsidP="00DC28AE">
            <w:pPr>
              <w:jc w:val="left"/>
              <w:rPr>
                <w:szCs w:val="24"/>
              </w:rPr>
            </w:pPr>
          </w:p>
        </w:tc>
        <w:tc>
          <w:tcPr>
            <w:tcW w:w="2552" w:type="dxa"/>
          </w:tcPr>
          <w:p w:rsidR="000D5E8B" w:rsidRDefault="00417981" w:rsidP="00DC28AE">
            <w:pPr>
              <w:rPr>
                <w:szCs w:val="24"/>
              </w:rPr>
            </w:pPr>
          </w:p>
        </w:tc>
        <w:tc>
          <w:tcPr>
            <w:tcW w:w="2273" w:type="dxa"/>
          </w:tcPr>
          <w:p w:rsidR="000D5E8B" w:rsidRDefault="00417981" w:rsidP="00DC28AE">
            <w:pPr>
              <w:rPr>
                <w:szCs w:val="24"/>
              </w:rPr>
            </w:pPr>
          </w:p>
        </w:tc>
      </w:tr>
    </w:tbl>
    <w:p w:rsidR="000D5E8B" w:rsidRDefault="00417981" w:rsidP="000D5E8B">
      <w:pPr>
        <w:rPr>
          <w:b/>
          <w:i/>
          <w:sz w:val="28"/>
          <w:szCs w:val="28"/>
        </w:rPr>
      </w:pPr>
    </w:p>
    <w:p w:rsidR="000D5E8B" w:rsidRDefault="00FF4712" w:rsidP="000D5E8B">
      <w:pPr>
        <w:rPr>
          <w:b/>
        </w:rPr>
      </w:pPr>
      <w:r>
        <w:rPr>
          <w:b/>
        </w:rPr>
        <w:t xml:space="preserve">LIST OF MOTOR VEHICLES </w:t>
      </w:r>
    </w:p>
    <w:p w:rsidR="000D5E8B" w:rsidRDefault="00417981" w:rsidP="000D5E8B"/>
    <w:tbl>
      <w:tblPr>
        <w:tblStyle w:val="TableGrid"/>
        <w:tblW w:w="9355" w:type="dxa"/>
        <w:tblLook w:val="04A0" w:firstRow="1" w:lastRow="0" w:firstColumn="1" w:lastColumn="0" w:noHBand="0" w:noVBand="1"/>
      </w:tblPr>
      <w:tblGrid>
        <w:gridCol w:w="1795"/>
        <w:gridCol w:w="2700"/>
        <w:gridCol w:w="4860"/>
      </w:tblGrid>
      <w:tr w:rsidR="003F0242" w:rsidTr="000D5E8B">
        <w:tc>
          <w:tcPr>
            <w:tcW w:w="1795" w:type="dxa"/>
          </w:tcPr>
          <w:p w:rsidR="000D5E8B" w:rsidRPr="000D5E8B" w:rsidRDefault="00FF4712" w:rsidP="000D5E8B">
            <w:pPr>
              <w:rPr>
                <w:b/>
              </w:rPr>
            </w:pPr>
            <w:r w:rsidRPr="000D5E8B">
              <w:rPr>
                <w:b/>
              </w:rPr>
              <w:t>Vehicle</w:t>
            </w:r>
          </w:p>
        </w:tc>
        <w:tc>
          <w:tcPr>
            <w:tcW w:w="2700" w:type="dxa"/>
          </w:tcPr>
          <w:p w:rsidR="000D5E8B" w:rsidRPr="000D5E8B" w:rsidRDefault="00FF4712" w:rsidP="000D5E8B">
            <w:pPr>
              <w:rPr>
                <w:b/>
              </w:rPr>
            </w:pPr>
            <w:r w:rsidRPr="000D5E8B">
              <w:rPr>
                <w:b/>
              </w:rPr>
              <w:t xml:space="preserve"> VIN</w:t>
            </w:r>
          </w:p>
        </w:tc>
        <w:tc>
          <w:tcPr>
            <w:tcW w:w="4860" w:type="dxa"/>
          </w:tcPr>
          <w:p w:rsidR="000D5E8B" w:rsidRPr="000D5E8B" w:rsidRDefault="00FF4712" w:rsidP="000D5E8B">
            <w:pPr>
              <w:rPr>
                <w:b/>
              </w:rPr>
            </w:pPr>
            <w:r w:rsidRPr="000D5E8B">
              <w:rPr>
                <w:b/>
              </w:rPr>
              <w:t>Lease/Finance</w:t>
            </w:r>
          </w:p>
        </w:tc>
      </w:tr>
      <w:tr w:rsidR="003F0242" w:rsidTr="000D5E8B">
        <w:tc>
          <w:tcPr>
            <w:tcW w:w="1795" w:type="dxa"/>
          </w:tcPr>
          <w:p w:rsidR="000D5E8B" w:rsidRDefault="00417981" w:rsidP="000D5E8B"/>
        </w:tc>
        <w:tc>
          <w:tcPr>
            <w:tcW w:w="2700" w:type="dxa"/>
          </w:tcPr>
          <w:p w:rsidR="000D5E8B" w:rsidRDefault="00417981" w:rsidP="000D5E8B"/>
        </w:tc>
        <w:tc>
          <w:tcPr>
            <w:tcW w:w="4860" w:type="dxa"/>
          </w:tcPr>
          <w:p w:rsidR="000D5E8B" w:rsidRDefault="00417981" w:rsidP="000D5E8B"/>
        </w:tc>
      </w:tr>
      <w:tr w:rsidR="003F0242" w:rsidTr="000D5E8B">
        <w:tc>
          <w:tcPr>
            <w:tcW w:w="1795" w:type="dxa"/>
          </w:tcPr>
          <w:p w:rsidR="000D5E8B" w:rsidRDefault="00417981" w:rsidP="000D5E8B"/>
        </w:tc>
        <w:tc>
          <w:tcPr>
            <w:tcW w:w="2700" w:type="dxa"/>
          </w:tcPr>
          <w:p w:rsidR="000D5E8B" w:rsidRDefault="00417981" w:rsidP="000D5E8B"/>
        </w:tc>
        <w:tc>
          <w:tcPr>
            <w:tcW w:w="4860" w:type="dxa"/>
          </w:tcPr>
          <w:p w:rsidR="000D5E8B" w:rsidRDefault="00417981" w:rsidP="000D5E8B"/>
        </w:tc>
      </w:tr>
    </w:tbl>
    <w:p w:rsidR="000D5E8B" w:rsidRPr="000D5E8B" w:rsidRDefault="00417981" w:rsidP="000D5E8B"/>
    <w:p w:rsidR="000D5E8B" w:rsidRPr="000D5E8B" w:rsidRDefault="00FF4712" w:rsidP="000D5E8B">
      <w:pPr>
        <w:rPr>
          <w:b/>
        </w:rPr>
      </w:pPr>
      <w:r w:rsidRPr="000D5E8B">
        <w:rPr>
          <w:b/>
        </w:rPr>
        <w:t>LIST OF REAL</w:t>
      </w:r>
      <w:r>
        <w:rPr>
          <w:b/>
        </w:rPr>
        <w:t xml:space="preserve"> PROPERTY</w:t>
      </w:r>
    </w:p>
    <w:p w:rsidR="000D5E8B" w:rsidRDefault="00417981" w:rsidP="000D5E8B">
      <w:pPr>
        <w:jc w:val="center"/>
        <w:rPr>
          <w:b/>
        </w:rPr>
      </w:pPr>
    </w:p>
    <w:tbl>
      <w:tblPr>
        <w:tblW w:w="94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700"/>
        <w:gridCol w:w="4860"/>
      </w:tblGrid>
      <w:tr w:rsidR="003F0242" w:rsidTr="000D5E8B">
        <w:trPr>
          <w:trHeight w:val="255"/>
        </w:trPr>
        <w:tc>
          <w:tcPr>
            <w:tcW w:w="1867" w:type="dxa"/>
            <w:shd w:val="clear" w:color="auto" w:fill="auto"/>
            <w:vAlign w:val="bottom"/>
          </w:tcPr>
          <w:p w:rsidR="000D5E8B" w:rsidRPr="000D5E8B" w:rsidRDefault="00FF4712" w:rsidP="00DC28AE">
            <w:pPr>
              <w:jc w:val="left"/>
              <w:rPr>
                <w:b/>
                <w:bCs/>
              </w:rPr>
            </w:pPr>
            <w:r w:rsidRPr="000D5E8B">
              <w:rPr>
                <w:b/>
                <w:bCs/>
              </w:rPr>
              <w:t>Name(s) on Title</w:t>
            </w:r>
          </w:p>
        </w:tc>
        <w:tc>
          <w:tcPr>
            <w:tcW w:w="2700" w:type="dxa"/>
            <w:shd w:val="clear" w:color="auto" w:fill="auto"/>
            <w:vAlign w:val="bottom"/>
          </w:tcPr>
          <w:p w:rsidR="000D5E8B" w:rsidRPr="000D5E8B" w:rsidRDefault="00FF4712" w:rsidP="00DC28AE">
            <w:pPr>
              <w:jc w:val="left"/>
              <w:rPr>
                <w:b/>
                <w:bCs/>
              </w:rPr>
            </w:pPr>
            <w:r w:rsidRPr="000D5E8B">
              <w:rPr>
                <w:b/>
                <w:bCs/>
              </w:rPr>
              <w:t>Title Number</w:t>
            </w:r>
          </w:p>
        </w:tc>
        <w:tc>
          <w:tcPr>
            <w:tcW w:w="4860" w:type="dxa"/>
            <w:shd w:val="clear" w:color="auto" w:fill="auto"/>
            <w:vAlign w:val="bottom"/>
          </w:tcPr>
          <w:p w:rsidR="000D5E8B" w:rsidRPr="000D5E8B" w:rsidRDefault="00FF4712" w:rsidP="00DC28AE">
            <w:pPr>
              <w:jc w:val="left"/>
              <w:rPr>
                <w:b/>
                <w:bCs/>
              </w:rPr>
            </w:pPr>
            <w:r w:rsidRPr="000D5E8B">
              <w:rPr>
                <w:b/>
                <w:bCs/>
              </w:rPr>
              <w:t>Legal Description</w:t>
            </w:r>
          </w:p>
        </w:tc>
      </w:tr>
      <w:tr w:rsidR="003F0242" w:rsidTr="000D5E8B">
        <w:trPr>
          <w:trHeight w:val="255"/>
        </w:trPr>
        <w:tc>
          <w:tcPr>
            <w:tcW w:w="1867" w:type="dxa"/>
            <w:shd w:val="clear" w:color="auto" w:fill="auto"/>
            <w:vAlign w:val="bottom"/>
          </w:tcPr>
          <w:p w:rsidR="000D5E8B" w:rsidRDefault="00417981" w:rsidP="00DC28AE">
            <w:pPr>
              <w:jc w:val="left"/>
              <w:rPr>
                <w:rFonts w:ascii="Arial" w:hAnsi="Arial" w:cs="Arial"/>
                <w:b/>
                <w:bCs/>
                <w:sz w:val="20"/>
              </w:rPr>
            </w:pPr>
          </w:p>
        </w:tc>
        <w:tc>
          <w:tcPr>
            <w:tcW w:w="2700" w:type="dxa"/>
            <w:shd w:val="clear" w:color="auto" w:fill="auto"/>
            <w:vAlign w:val="bottom"/>
          </w:tcPr>
          <w:p w:rsidR="000D5E8B" w:rsidRDefault="00417981" w:rsidP="00DC28AE">
            <w:pPr>
              <w:jc w:val="left"/>
              <w:rPr>
                <w:rFonts w:ascii="Arial" w:hAnsi="Arial" w:cs="Arial"/>
                <w:b/>
                <w:bCs/>
                <w:sz w:val="20"/>
              </w:rPr>
            </w:pPr>
          </w:p>
        </w:tc>
        <w:tc>
          <w:tcPr>
            <w:tcW w:w="4860" w:type="dxa"/>
            <w:shd w:val="clear" w:color="auto" w:fill="auto"/>
            <w:vAlign w:val="bottom"/>
          </w:tcPr>
          <w:p w:rsidR="000D5E8B" w:rsidRDefault="00417981" w:rsidP="00DC28AE">
            <w:pPr>
              <w:jc w:val="left"/>
              <w:rPr>
                <w:rFonts w:ascii="Arial" w:hAnsi="Arial" w:cs="Arial"/>
                <w:b/>
                <w:bCs/>
                <w:sz w:val="20"/>
              </w:rPr>
            </w:pPr>
          </w:p>
        </w:tc>
      </w:tr>
      <w:tr w:rsidR="003F0242" w:rsidTr="000D5E8B">
        <w:trPr>
          <w:trHeight w:val="255"/>
        </w:trPr>
        <w:tc>
          <w:tcPr>
            <w:tcW w:w="1867" w:type="dxa"/>
            <w:shd w:val="clear" w:color="auto" w:fill="auto"/>
            <w:vAlign w:val="bottom"/>
          </w:tcPr>
          <w:p w:rsidR="000D5E8B" w:rsidRDefault="00417981" w:rsidP="00DC28AE">
            <w:pPr>
              <w:jc w:val="left"/>
              <w:rPr>
                <w:rFonts w:ascii="Arial" w:hAnsi="Arial" w:cs="Arial"/>
                <w:b/>
                <w:bCs/>
                <w:sz w:val="20"/>
              </w:rPr>
            </w:pPr>
          </w:p>
        </w:tc>
        <w:tc>
          <w:tcPr>
            <w:tcW w:w="2700" w:type="dxa"/>
            <w:shd w:val="clear" w:color="auto" w:fill="auto"/>
            <w:vAlign w:val="bottom"/>
          </w:tcPr>
          <w:p w:rsidR="000D5E8B" w:rsidRDefault="00417981" w:rsidP="00DC28AE">
            <w:pPr>
              <w:jc w:val="left"/>
              <w:rPr>
                <w:rFonts w:ascii="Arial" w:hAnsi="Arial" w:cs="Arial"/>
                <w:b/>
                <w:bCs/>
                <w:sz w:val="20"/>
              </w:rPr>
            </w:pPr>
          </w:p>
        </w:tc>
        <w:tc>
          <w:tcPr>
            <w:tcW w:w="4860" w:type="dxa"/>
            <w:shd w:val="clear" w:color="auto" w:fill="auto"/>
            <w:vAlign w:val="bottom"/>
          </w:tcPr>
          <w:p w:rsidR="000D5E8B" w:rsidRDefault="00417981" w:rsidP="00DC28AE">
            <w:pPr>
              <w:jc w:val="left"/>
              <w:rPr>
                <w:rFonts w:ascii="Arial" w:hAnsi="Arial" w:cs="Arial"/>
                <w:b/>
                <w:bCs/>
                <w:sz w:val="20"/>
              </w:rPr>
            </w:pPr>
          </w:p>
        </w:tc>
      </w:tr>
    </w:tbl>
    <w:p w:rsidR="00FE1EFF" w:rsidRDefault="00417981" w:rsidP="000D5E8B">
      <w:pPr>
        <w:jc w:val="left"/>
        <w:rPr>
          <w:b/>
        </w:rPr>
        <w:sectPr w:rsidR="00FE1EFF" w:rsidSect="00136EC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720" w:footer="720" w:gutter="0"/>
          <w:cols w:space="720"/>
          <w:titlePg/>
        </w:sectPr>
      </w:pPr>
    </w:p>
    <w:p w:rsidR="00FE1EFF" w:rsidRPr="00FE1EFF" w:rsidRDefault="00FF4712" w:rsidP="00FE1EFF">
      <w:pPr>
        <w:jc w:val="center"/>
        <w:rPr>
          <w:b/>
          <w:u w:val="single"/>
        </w:rPr>
      </w:pPr>
      <w:r w:rsidRPr="00FE1EFF">
        <w:rPr>
          <w:b/>
          <w:u w:val="single"/>
        </w:rPr>
        <w:lastRenderedPageBreak/>
        <w:t>Commentary / Notes</w:t>
      </w:r>
    </w:p>
    <w:p w:rsidR="00FE1EFF" w:rsidRDefault="00417981" w:rsidP="00FE1EFF">
      <w:pPr>
        <w:jc w:val="center"/>
      </w:pPr>
    </w:p>
    <w:p w:rsidR="00FE1EFF" w:rsidRPr="00FE1EFF" w:rsidRDefault="00FF4712" w:rsidP="00FE1EFF">
      <w:pPr>
        <w:jc w:val="left"/>
      </w:pPr>
      <w:r w:rsidRPr="00FE1EFF">
        <w:rPr>
          <w:u w:val="single"/>
        </w:rPr>
        <w:t>Note</w:t>
      </w:r>
      <w:r>
        <w:t xml:space="preserve">: The endnotes are not part of the Template Order and are provided solely as an interpretive guide to counsel.  The inclusion of cases or other legal conclusions in the endnotes of this Template Order should not be taken as any endorsement of such comments by the Court.  </w:t>
      </w:r>
    </w:p>
    <w:sectPr w:rsidR="00FE1EFF" w:rsidRPr="00FE1EFF" w:rsidSect="00136EC9">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712" w:rsidRDefault="00FF4712" w:rsidP="00F47A80">
      <w:r>
        <w:separator/>
      </w:r>
    </w:p>
  </w:endnote>
  <w:endnote w:type="continuationSeparator" w:id="0">
    <w:p w:rsidR="00FF4712" w:rsidRDefault="00FF4712" w:rsidP="00F47A80">
      <w:r>
        <w:continuationSeparator/>
      </w:r>
    </w:p>
  </w:endnote>
  <w:endnote w:id="1">
    <w:p w:rsidR="00FE1EFF" w:rsidRDefault="00FF4712">
      <w:pPr>
        <w:pStyle w:val="EndnoteText"/>
      </w:pPr>
      <w:r>
        <w:rPr>
          <w:rStyle w:val="EndnoteReference"/>
        </w:rPr>
        <w:endnoteRef/>
      </w:r>
      <w:r>
        <w:t xml:space="preserve"> A Mareva Injunction provides similar relief to an attachment order under the </w:t>
      </w:r>
      <w:r w:rsidRPr="000D5E8B">
        <w:rPr>
          <w:i/>
        </w:rPr>
        <w:t>Civil Enforcement Act</w:t>
      </w:r>
      <w:r w:rsidRPr="000D5E8B">
        <w:t xml:space="preserve">, RSA 2000, c C-15 (the </w:t>
      </w:r>
      <w:r>
        <w:t>"</w:t>
      </w:r>
      <w:r w:rsidRPr="000D5E8B">
        <w:rPr>
          <w:i/>
        </w:rPr>
        <w:t>CEA</w:t>
      </w:r>
      <w:r>
        <w:t>"</w:t>
      </w:r>
      <w:r w:rsidRPr="000D5E8B">
        <w:t>)</w:t>
      </w:r>
      <w:r>
        <w:t xml:space="preserve">, but is granted pursuant </w:t>
      </w:r>
      <w:r w:rsidRPr="000D5E8B">
        <w:t>to the court</w:t>
      </w:r>
      <w:r>
        <w:t>'</w:t>
      </w:r>
      <w:r w:rsidRPr="000D5E8B">
        <w:t xml:space="preserve">s equitable jurisdiction to grant injunctive relief: </w:t>
      </w:r>
      <w:r w:rsidRPr="000D5E8B">
        <w:rPr>
          <w:i/>
        </w:rPr>
        <w:t>Judicature Act</w:t>
      </w:r>
      <w:r w:rsidRPr="000D5E8B">
        <w:t>, RSA 2000, c J-2, s 13(2).</w:t>
      </w:r>
      <w:r w:rsidRPr="009C078D">
        <w:t xml:space="preserve"> To the extent remedies are sought within Alberta that are comparable to those available under the </w:t>
      </w:r>
      <w:r>
        <w:rPr>
          <w:i/>
        </w:rPr>
        <w:t>CEA</w:t>
      </w:r>
      <w:r w:rsidRPr="009C078D">
        <w:t>, similar protections for the interests of the defendants to those contemplated in the legislation should be considered by the court, absent exceptional circumstances</w:t>
      </w:r>
      <w:r>
        <w:t>. In</w:t>
      </w:r>
      <w:r w:rsidRPr="009C078D">
        <w:t xml:space="preserve"> granting a Mareva injunction or a preservation order a court should be guided by the principles in the </w:t>
      </w:r>
      <w:r>
        <w:rPr>
          <w:i/>
        </w:rPr>
        <w:t>CEA</w:t>
      </w:r>
      <w:r>
        <w:t xml:space="preserve">: </w:t>
      </w:r>
      <w:r w:rsidRPr="009C078D">
        <w:rPr>
          <w:i/>
        </w:rPr>
        <w:t>Secure 2013 Group Inc v Tiger Calcium Services Inc</w:t>
      </w:r>
      <w:r w:rsidRPr="009C078D">
        <w:t>, 2017 ABCA 316</w:t>
      </w:r>
      <w:r>
        <w:t xml:space="preserve">  ("</w:t>
      </w:r>
      <w:r>
        <w:rPr>
          <w:i/>
        </w:rPr>
        <w:t xml:space="preserve">Secure </w:t>
      </w:r>
      <w:r w:rsidRPr="009C078D">
        <w:rPr>
          <w:i/>
        </w:rPr>
        <w:t>2013</w:t>
      </w:r>
      <w:r>
        <w:t xml:space="preserve">") </w:t>
      </w:r>
      <w:r w:rsidRPr="009C078D">
        <w:t>at</w:t>
      </w:r>
      <w:r>
        <w:t xml:space="preserve"> para 66. </w:t>
      </w:r>
    </w:p>
  </w:endnote>
  <w:endnote w:id="2">
    <w:p w:rsidR="00FE1EFF" w:rsidRPr="00FE1EFF" w:rsidRDefault="00FF4712" w:rsidP="00AD1327">
      <w:pPr>
        <w:pStyle w:val="EndnoteText"/>
        <w:spacing w:after="240"/>
      </w:pPr>
      <w:r>
        <w:rPr>
          <w:rStyle w:val="EndnoteReference"/>
        </w:rPr>
        <w:endnoteRef/>
      </w:r>
      <w:r>
        <w:t xml:space="preserve">  If the claimant is only seeking an attachment order under the </w:t>
      </w:r>
      <w:r>
        <w:rPr>
          <w:i/>
        </w:rPr>
        <w:t>CEA</w:t>
      </w:r>
      <w:r>
        <w:t xml:space="preserve">, the application can be made before a Master – see </w:t>
      </w:r>
      <w:r w:rsidRPr="003B2E65">
        <w:rPr>
          <w:i/>
        </w:rPr>
        <w:t>Proprietary Industries Inc. v Workum</w:t>
      </w:r>
      <w:r w:rsidRPr="00FE1EFF">
        <w:t>, 2006 ABCA 225</w:t>
      </w:r>
      <w:r>
        <w:t>.  However, if a Mareva Injunction is also sought, the application must be brought before a Justice.</w:t>
      </w:r>
    </w:p>
  </w:endnote>
  <w:endnote w:id="3">
    <w:p w:rsidR="00FE1EFF" w:rsidRPr="009C078D" w:rsidRDefault="00FF4712" w:rsidP="00E825D3">
      <w:pPr>
        <w:pStyle w:val="EndnoteText"/>
      </w:pPr>
      <w:r>
        <w:rPr>
          <w:rStyle w:val="EndnoteReference"/>
        </w:rPr>
        <w:endnoteRef/>
      </w:r>
      <w:r>
        <w:t xml:space="preserve"> An application for an attachment order may be made </w:t>
      </w:r>
      <w:r w:rsidRPr="00E825D3">
        <w:rPr>
          <w:i/>
        </w:rPr>
        <w:t>ex parte</w:t>
      </w:r>
      <w:r>
        <w:t>: Section 18,</w:t>
      </w:r>
      <w:r>
        <w:rPr>
          <w:i/>
        </w:rPr>
        <w:t xml:space="preserve"> CEA</w:t>
      </w:r>
      <w:r>
        <w:t xml:space="preserve">. However, unless the Court is satisfied that it would be inappropriate for an attachment order granted on an </w:t>
      </w:r>
      <w:r w:rsidRPr="00E825D3">
        <w:rPr>
          <w:i/>
        </w:rPr>
        <w:t>ex parte</w:t>
      </w:r>
      <w:r>
        <w:t xml:space="preserve"> application to expire automatically after 21 days, an attachment order granted on an </w:t>
      </w:r>
      <w:r w:rsidRPr="00E825D3">
        <w:rPr>
          <w:i/>
        </w:rPr>
        <w:t>ex parte</w:t>
      </w:r>
      <w:r>
        <w:t xml:space="preserve"> application must specify a date, not more than 21 days from the day that the order is granted, on which the order will expire: Section 18(2) and (3), </w:t>
      </w:r>
      <w:r>
        <w:rPr>
          <w:i/>
        </w:rPr>
        <w:t>CEA</w:t>
      </w:r>
      <w:r>
        <w:t xml:space="preserve">. However, the Plaintiff may subsequently apply, on notice to the defendant, for an Order extending the </w:t>
      </w:r>
      <w:r>
        <w:rPr>
          <w:i/>
        </w:rPr>
        <w:t xml:space="preserve">ex parte </w:t>
      </w:r>
      <w:r>
        <w:t xml:space="preserve">attachment order until the Plaintiff's claim is dismissed or discontinued, 60 days from the date of judgment in favor of the defendant, or as directed by the Court: Section 18(4) and 19, </w:t>
      </w:r>
      <w:r>
        <w:rPr>
          <w:i/>
        </w:rPr>
        <w:t xml:space="preserve">CEA. </w:t>
      </w:r>
      <w:r w:rsidRPr="009C078D">
        <w:t>An applicant proceeding without notice to the opposing party is required to act with the utmost good faith and make full, fair and candid disclosure of the facts and this disclosure must include facts which would militate against the application</w:t>
      </w:r>
      <w:r>
        <w:t xml:space="preserve">: </w:t>
      </w:r>
      <w:r>
        <w:rPr>
          <w:i/>
        </w:rPr>
        <w:t xml:space="preserve">Secure 2013 </w:t>
      </w:r>
      <w:r>
        <w:t>at para 44.</w:t>
      </w:r>
    </w:p>
  </w:endnote>
  <w:endnote w:id="4">
    <w:p w:rsidR="00FE1EFF" w:rsidRPr="00B44FF8" w:rsidRDefault="00FF4712">
      <w:pPr>
        <w:pStyle w:val="EndnoteText"/>
      </w:pPr>
      <w:r>
        <w:rPr>
          <w:rStyle w:val="EndnoteReference"/>
        </w:rPr>
        <w:endnoteRef/>
      </w:r>
      <w:r>
        <w:t xml:space="preserve"> A claimant may apply to the Court for an attachment order where the claimant has commenced, or is about to commence, proceedings in Alberta to establish the claimant's claim: Section 17(1)(a). Accordingly, it is not necessary that the Statement of Claim be filed at the time the application is made. </w:t>
      </w:r>
    </w:p>
  </w:endnote>
  <w:endnote w:id="5">
    <w:p w:rsidR="003B2E65" w:rsidRDefault="00FF4712">
      <w:pPr>
        <w:pStyle w:val="EndnoteText"/>
      </w:pPr>
      <w:r>
        <w:rPr>
          <w:rStyle w:val="EndnoteReference"/>
        </w:rPr>
        <w:endnoteRef/>
      </w:r>
      <w:r>
        <w:t xml:space="preserve"> </w:t>
      </w:r>
      <w:r>
        <w:rPr>
          <w:szCs w:val="24"/>
        </w:rPr>
        <w:t>Filing a brief is not mandatory, but is a recommended best practice to be followed.</w:t>
      </w:r>
    </w:p>
  </w:endnote>
  <w:endnote w:id="6">
    <w:p w:rsidR="00FE1EFF" w:rsidRPr="00C13988" w:rsidRDefault="00FF4712">
      <w:pPr>
        <w:pStyle w:val="EndnoteText"/>
      </w:pPr>
      <w:r>
        <w:rPr>
          <w:rStyle w:val="EndnoteReference"/>
        </w:rPr>
        <w:endnoteRef/>
      </w:r>
      <w:r>
        <w:t xml:space="preserve"> Section 17(2)(a), </w:t>
      </w:r>
      <w:r>
        <w:rPr>
          <w:i/>
        </w:rPr>
        <w:t>CEA</w:t>
      </w:r>
      <w:r>
        <w:t xml:space="preserve">. The threshold a plaintiff must meet for an attachment order under the </w:t>
      </w:r>
      <w:r>
        <w:rPr>
          <w:i/>
        </w:rPr>
        <w:t xml:space="preserve">CEA </w:t>
      </w:r>
      <w:r>
        <w:t xml:space="preserve">is lower than a strong </w:t>
      </w:r>
      <w:r>
        <w:rPr>
          <w:i/>
        </w:rPr>
        <w:t xml:space="preserve">prima facie </w:t>
      </w:r>
      <w:r>
        <w:t xml:space="preserve">case but higher than a genuine issue to be tried: </w:t>
      </w:r>
      <w:r w:rsidRPr="00C13988">
        <w:rPr>
          <w:i/>
        </w:rPr>
        <w:t>Simonelli v Ayron Developments Inc</w:t>
      </w:r>
      <w:r w:rsidRPr="00C13988">
        <w:t xml:space="preserve">., 2010 ABQB 565 </w:t>
      </w:r>
      <w:r>
        <w:t>("</w:t>
      </w:r>
      <w:r w:rsidRPr="00C13988">
        <w:rPr>
          <w:i/>
        </w:rPr>
        <w:t>Simonelli</w:t>
      </w:r>
      <w:r>
        <w:t xml:space="preserve">") </w:t>
      </w:r>
      <w:r w:rsidRPr="00C13988">
        <w:t>at para 150</w:t>
      </w:r>
      <w:r>
        <w:t xml:space="preserve">. However, in order to obtain a Mareva Injunction, the Plaintiff must show a strong prima facie case, see endnote 7 </w:t>
      </w:r>
      <w:r>
        <w:rPr>
          <w:i/>
        </w:rPr>
        <w:t>infra</w:t>
      </w:r>
      <w:r>
        <w:t>.</w:t>
      </w:r>
    </w:p>
  </w:endnote>
  <w:endnote w:id="7">
    <w:p w:rsidR="00FE1EFF" w:rsidRDefault="00FF4712">
      <w:pPr>
        <w:pStyle w:val="EndnoteText"/>
      </w:pPr>
      <w:r>
        <w:rPr>
          <w:rStyle w:val="EndnoteReference"/>
        </w:rPr>
        <w:endnoteRef/>
      </w:r>
      <w:r>
        <w:t xml:space="preserve"> I</w:t>
      </w:r>
      <w:r w:rsidRPr="006F18A6">
        <w:t xml:space="preserve">n order to obtain a Mareva Injunction, the Plaintiff must show a strong prima facie case: </w:t>
      </w:r>
      <w:r w:rsidRPr="006F18A6">
        <w:rPr>
          <w:i/>
        </w:rPr>
        <w:t>Secure 2013</w:t>
      </w:r>
      <w:r w:rsidRPr="006F18A6">
        <w:t xml:space="preserve"> at para 67.  </w:t>
      </w:r>
    </w:p>
  </w:endnote>
  <w:endnote w:id="8">
    <w:p w:rsidR="00FE1EFF" w:rsidRDefault="00FF4712">
      <w:pPr>
        <w:pStyle w:val="EndnoteText"/>
      </w:pPr>
      <w:r>
        <w:rPr>
          <w:rStyle w:val="EndnoteReference"/>
        </w:rPr>
        <w:endnoteRef/>
      </w:r>
      <w:r>
        <w:t xml:space="preserve"> In order to obtain a Mareva Injunction, the Plaintiff must establish that the Defendant has assets in Alberta: </w:t>
      </w:r>
      <w:r>
        <w:rPr>
          <w:i/>
        </w:rPr>
        <w:t xml:space="preserve">Eli Lilly Canada Inc v Novapharm Ltd., </w:t>
      </w:r>
      <w:r>
        <w:t>2010 FC 241("</w:t>
      </w:r>
      <w:r>
        <w:rPr>
          <w:i/>
        </w:rPr>
        <w:t>Eli Lilly</w:t>
      </w:r>
      <w:r>
        <w:t xml:space="preserve">") at para 19; </w:t>
      </w:r>
      <w:r w:rsidRPr="006F18A6">
        <w:rPr>
          <w:i/>
        </w:rPr>
        <w:t>C</w:t>
      </w:r>
      <w:r>
        <w:rPr>
          <w:i/>
        </w:rPr>
        <w:t xml:space="preserve">ho v </w:t>
      </w:r>
      <w:r w:rsidRPr="006F18A6">
        <w:rPr>
          <w:i/>
        </w:rPr>
        <w:t>Twin Cities Power-Canada</w:t>
      </w:r>
      <w:r>
        <w:t>,</w:t>
      </w:r>
      <w:r w:rsidRPr="006F18A6">
        <w:t xml:space="preserve"> 2011 ABQB 707 </w:t>
      </w:r>
      <w:r>
        <w:t>("</w:t>
      </w:r>
      <w:r w:rsidRPr="00496475">
        <w:rPr>
          <w:i/>
        </w:rPr>
        <w:t>Cho</w:t>
      </w:r>
      <w:r>
        <w:t xml:space="preserve">") </w:t>
      </w:r>
      <w:r w:rsidRPr="00496475">
        <w:t>at</w:t>
      </w:r>
      <w:r>
        <w:t xml:space="preserve"> para 13. </w:t>
      </w:r>
    </w:p>
  </w:endnote>
  <w:endnote w:id="9">
    <w:p w:rsidR="00FE1EFF" w:rsidRPr="00C13988" w:rsidRDefault="00FF4712">
      <w:pPr>
        <w:pStyle w:val="EndnoteText"/>
      </w:pPr>
      <w:r>
        <w:rPr>
          <w:rStyle w:val="EndnoteReference"/>
        </w:rPr>
        <w:endnoteRef/>
      </w:r>
      <w:r>
        <w:t xml:space="preserve"> Section 17(2)(b), </w:t>
      </w:r>
      <w:r>
        <w:rPr>
          <w:i/>
        </w:rPr>
        <w:t>CEA</w:t>
      </w:r>
      <w:r>
        <w:t xml:space="preserve">. There is a chance in any suit that a Plaintiff will not be able to collect on its judgment. Accordingly, the test is not simply the probability of non-recovery, but issues must be considered in respect of the defendant's solvency and the manner in which the defendants have dealt with assets. Importantly, an attachment order will not be imposed where the Defendant has substantial remaining assets:  </w:t>
      </w:r>
      <w:r>
        <w:rPr>
          <w:i/>
        </w:rPr>
        <w:t xml:space="preserve">Simonelli </w:t>
      </w:r>
      <w:r>
        <w:t>at paras 150 and 156</w:t>
      </w:r>
      <w:r w:rsidRPr="00C13988">
        <w:t>.</w:t>
      </w:r>
    </w:p>
  </w:endnote>
  <w:endnote w:id="10">
    <w:p w:rsidR="00FE1EFF" w:rsidRPr="00496475" w:rsidRDefault="00FF4712">
      <w:pPr>
        <w:pStyle w:val="EndnoteText"/>
      </w:pPr>
      <w:r>
        <w:rPr>
          <w:rStyle w:val="EndnoteReference"/>
        </w:rPr>
        <w:endnoteRef/>
      </w:r>
      <w:r>
        <w:t xml:space="preserve"> </w:t>
      </w:r>
      <w:r w:rsidRPr="00496475">
        <w:t>In order to obtain a Mareva Injunction, the Plaintiff must show</w:t>
      </w:r>
      <w:r>
        <w:t xml:space="preserve"> that there is a real risk that the Defendant will remove assets from the jurisdiction, or dissipate them, in order to avoid execution under a judgment: </w:t>
      </w:r>
      <w:r>
        <w:rPr>
          <w:i/>
        </w:rPr>
        <w:t xml:space="preserve">Secure 2013 </w:t>
      </w:r>
      <w:r>
        <w:t xml:space="preserve">at para 67; </w:t>
      </w:r>
      <w:r>
        <w:rPr>
          <w:i/>
        </w:rPr>
        <w:t xml:space="preserve">Eli Lilly </w:t>
      </w:r>
      <w:r>
        <w:t xml:space="preserve">at para 19; </w:t>
      </w:r>
      <w:r>
        <w:rPr>
          <w:i/>
        </w:rPr>
        <w:t xml:space="preserve">Cho </w:t>
      </w:r>
      <w:r>
        <w:t xml:space="preserve">at para 13. </w:t>
      </w:r>
    </w:p>
  </w:endnote>
  <w:endnote w:id="11">
    <w:p w:rsidR="00FE1EFF" w:rsidRPr="00F078A1" w:rsidRDefault="00FF4712">
      <w:pPr>
        <w:pStyle w:val="EndnoteText"/>
      </w:pPr>
      <w:r>
        <w:rPr>
          <w:rStyle w:val="EndnoteReference"/>
        </w:rPr>
        <w:endnoteRef/>
      </w:r>
      <w:r>
        <w:t xml:space="preserve"> See attached Schedule "A"; see also Section 17(4), </w:t>
      </w:r>
      <w:r>
        <w:rPr>
          <w:i/>
        </w:rPr>
        <w:t>CEA</w:t>
      </w:r>
      <w:r>
        <w:t>.</w:t>
      </w:r>
    </w:p>
  </w:endnote>
  <w:endnote w:id="12">
    <w:p w:rsidR="00FE1EFF" w:rsidRPr="00F078A1" w:rsidRDefault="00FF4712" w:rsidP="00F078A1">
      <w:pPr>
        <w:pStyle w:val="EndnoteText"/>
      </w:pPr>
      <w:r>
        <w:rPr>
          <w:rStyle w:val="EndnoteReference"/>
        </w:rPr>
        <w:endnoteRef/>
      </w:r>
      <w:r>
        <w:t xml:space="preserve"> When an attachment order is granted, it should be granted in such a manner that it causes as little inconvenience to the defendant as is consistent with achieving the purposes for which the order is granted: Section 17(5), </w:t>
      </w:r>
      <w:r>
        <w:rPr>
          <w:i/>
        </w:rPr>
        <w:t>CEA</w:t>
      </w:r>
      <w:r>
        <w:t>.</w:t>
      </w:r>
    </w:p>
  </w:endnote>
  <w:endnote w:id="13">
    <w:p w:rsidR="00FE1EFF" w:rsidRPr="001434C0" w:rsidRDefault="00FF4712" w:rsidP="001434C0">
      <w:pPr>
        <w:pStyle w:val="EndnoteText"/>
      </w:pPr>
      <w:r>
        <w:rPr>
          <w:rStyle w:val="EndnoteReference"/>
        </w:rPr>
        <w:endnoteRef/>
      </w:r>
      <w:r>
        <w:t xml:space="preserve"> In granting an attachment order, the Court may prohibit the defendant from "dealing" with "exigible property" of the defendant. The definition of "dealing" in Section 16(c) of the </w:t>
      </w:r>
      <w:r>
        <w:rPr>
          <w:i/>
        </w:rPr>
        <w:t>CEA</w:t>
      </w:r>
      <w:r w:rsidRPr="001434C0">
        <w:t xml:space="preserve"> </w:t>
      </w:r>
      <w:r>
        <w:t xml:space="preserve">in reference to property </w:t>
      </w:r>
      <w:r w:rsidRPr="001434C0">
        <w:t xml:space="preserve">includes </w:t>
      </w:r>
      <w:r>
        <w:t>"</w:t>
      </w:r>
      <w:r w:rsidRPr="001434C0">
        <w:t>transferring,</w:t>
      </w:r>
    </w:p>
    <w:p w:rsidR="00FE1EFF" w:rsidRPr="001434C0" w:rsidRDefault="00FF4712" w:rsidP="001434C0">
      <w:pPr>
        <w:pStyle w:val="EndnoteText"/>
      </w:pPr>
      <w:r w:rsidRPr="001434C0">
        <w:t>mortgaging, charging, using, disposing of, creating an interest in or doing anything to the property.</w:t>
      </w:r>
      <w:r>
        <w:t>"</w:t>
      </w:r>
    </w:p>
  </w:endnote>
  <w:endnote w:id="14">
    <w:p w:rsidR="00562BD2" w:rsidRPr="00562BD2" w:rsidRDefault="00FF4712" w:rsidP="00562BD2">
      <w:pPr>
        <w:pStyle w:val="EndnoteText"/>
      </w:pPr>
      <w:r>
        <w:rPr>
          <w:rStyle w:val="EndnoteReference"/>
        </w:rPr>
        <w:endnoteRef/>
      </w:r>
      <w:r>
        <w:t xml:space="preserve"> Section 1(u) defines exigilbe as "</w:t>
      </w:r>
      <w:r w:rsidRPr="00562BD2">
        <w:t>not exempt from writ proc</w:t>
      </w:r>
      <w:r>
        <w:t xml:space="preserve">eedings or distress proceedings"; s. 1(ll) defines "property" as </w:t>
      </w:r>
      <w:r>
        <w:rPr>
          <w:i/>
        </w:rPr>
        <w:t>including</w:t>
      </w:r>
      <w:r>
        <w:t xml:space="preserve"> "(i)  things, as well as rights or interests in things, (ii) anything regarded in law or equity as property or as an interest in property, (iii) any right or interest that can be transferred for value from one person to another, (iv)  any right, including a contingent or future right, to be paid money or receive any other kind of property, and (v) any cause of action"</w:t>
      </w:r>
    </w:p>
  </w:endnote>
  <w:endnote w:id="15">
    <w:p w:rsidR="00FE1EFF" w:rsidRPr="00E71848" w:rsidRDefault="00FF4712">
      <w:pPr>
        <w:pStyle w:val="EndnoteText"/>
      </w:pPr>
      <w:r>
        <w:rPr>
          <w:rStyle w:val="EndnoteReference"/>
        </w:rPr>
        <w:endnoteRef/>
      </w:r>
      <w:r>
        <w:t xml:space="preserve"> Section 17(3)(b), (c) and (g), </w:t>
      </w:r>
      <w:r>
        <w:rPr>
          <w:i/>
        </w:rPr>
        <w:t>CEA</w:t>
      </w:r>
      <w:r>
        <w:t>.</w:t>
      </w:r>
    </w:p>
  </w:endnote>
  <w:endnote w:id="16">
    <w:p w:rsidR="00FE1EFF" w:rsidRDefault="00FF4712">
      <w:pPr>
        <w:pStyle w:val="EndnoteText"/>
      </w:pPr>
      <w:r>
        <w:rPr>
          <w:rStyle w:val="EndnoteReference"/>
        </w:rPr>
        <w:endnoteRef/>
      </w:r>
      <w:r>
        <w:t xml:space="preserve"> </w:t>
      </w:r>
      <w:r w:rsidRPr="00E71848">
        <w:t xml:space="preserve">Section 17(3)(b), (c) and (g), </w:t>
      </w:r>
      <w:r w:rsidRPr="00E71848">
        <w:rPr>
          <w:i/>
        </w:rPr>
        <w:t>CEA</w:t>
      </w:r>
      <w:r w:rsidRPr="00E71848">
        <w:t>.</w:t>
      </w:r>
    </w:p>
  </w:endnote>
  <w:endnote w:id="17">
    <w:p w:rsidR="00FE1EFF" w:rsidRDefault="00FF4712">
      <w:pPr>
        <w:pStyle w:val="EndnoteText"/>
      </w:pPr>
      <w:r>
        <w:rPr>
          <w:rStyle w:val="EndnoteReference"/>
        </w:rPr>
        <w:endnoteRef/>
      </w:r>
      <w:r>
        <w:t xml:space="preserve"> </w:t>
      </w:r>
      <w:r w:rsidRPr="00E71848">
        <w:t xml:space="preserve">Section 17(3)(b), (c) and (g), </w:t>
      </w:r>
      <w:r w:rsidRPr="00E71848">
        <w:rPr>
          <w:i/>
        </w:rPr>
        <w:t>CEA</w:t>
      </w:r>
      <w:r w:rsidRPr="00E71848">
        <w:t>.</w:t>
      </w:r>
    </w:p>
  </w:endnote>
  <w:endnote w:id="18">
    <w:p w:rsidR="00FE1EFF" w:rsidRDefault="00FF4712" w:rsidP="009D3AC7">
      <w:pPr>
        <w:pStyle w:val="CommentText"/>
      </w:pPr>
      <w:r>
        <w:rPr>
          <w:rStyle w:val="EndnoteReference"/>
        </w:rPr>
        <w:endnoteRef/>
      </w:r>
      <w:r>
        <w:t xml:space="preserve"> The Court has the general power to do this under its </w:t>
      </w:r>
      <w:r>
        <w:rPr>
          <w:i/>
        </w:rPr>
        <w:t xml:space="preserve">Mareva </w:t>
      </w:r>
      <w:r w:rsidRPr="005F1E27">
        <w:t>Injunction</w:t>
      </w:r>
      <w:r>
        <w:t xml:space="preserve"> powers.  Further, to give effect to s. 17(6) of the CEA, the Court can direct this provision pursuant to s. 17(3)(g)</w:t>
      </w:r>
    </w:p>
  </w:endnote>
  <w:endnote w:id="19">
    <w:p w:rsidR="00FE1EFF" w:rsidRDefault="00FF4712" w:rsidP="009D3AC7">
      <w:pPr>
        <w:pStyle w:val="CommentText"/>
      </w:pPr>
      <w:r>
        <w:rPr>
          <w:rStyle w:val="EndnoteReference"/>
        </w:rPr>
        <w:endnoteRef/>
      </w:r>
      <w:r>
        <w:t xml:space="preserve"> s. 17(6) of the CEA provides an attachment order should only freeze so much of the Defendants' assets as may be necessary to give effect to the order.  However, absent disclosure of assets (as set out above) it is typically difficult or impossible to know if this is occurring.</w:t>
      </w:r>
    </w:p>
    <w:p w:rsidR="00FE1EFF" w:rsidRDefault="00417981" w:rsidP="009D3AC7">
      <w:pPr>
        <w:pStyle w:val="CommentText"/>
      </w:pPr>
    </w:p>
    <w:p w:rsidR="00FE1EFF" w:rsidRPr="009D3AC7" w:rsidRDefault="00FF4712" w:rsidP="009D3AC7">
      <w:pPr>
        <w:pStyle w:val="CommentText"/>
      </w:pPr>
      <w:r>
        <w:t xml:space="preserve">If the Plaintiff can establish </w:t>
      </w:r>
      <w:r w:rsidRPr="005F1E27">
        <w:rPr>
          <w:i/>
        </w:rPr>
        <w:t>prima facie</w:t>
      </w:r>
      <w:r>
        <w:t xml:space="preserve"> proprietary interest in the assets, they will (or should) not be released, even if needed for ordinary living expenses or legal fees.  That initial onus to establish a proprietary claim is on the Plaintiff (See </w:t>
      </w:r>
      <w:r w:rsidRPr="009D3AC7">
        <w:rPr>
          <w:i/>
        </w:rPr>
        <w:t>Metalworks Canada Ltd v Warrack</w:t>
      </w:r>
      <w:r w:rsidRPr="005F1E27">
        <w:t>, 2014 ABCA 389</w:t>
      </w:r>
      <w:r>
        <w:t xml:space="preserve">) whereas the onus to establish there are no further assets is on the Defendant.  In general, assets that arise from the alleged wrongdoing should not be released to defend the claim.  See </w:t>
      </w:r>
      <w:r w:rsidRPr="009D3AC7">
        <w:rPr>
          <w:i/>
        </w:rPr>
        <w:t>Canadian Imperial Bank of Commerce v Credit Valley Institute of Business and Technology</w:t>
      </w:r>
      <w:r w:rsidRPr="005F1E27">
        <w:t xml:space="preserve"> (2003), 119 AWCS (3d) 826 at para 26</w:t>
      </w:r>
      <w:r>
        <w:t xml:space="preserve">  and </w:t>
      </w:r>
      <w:r w:rsidRPr="009D3AC7">
        <w:rPr>
          <w:i/>
        </w:rPr>
        <w:t>Toronto Dominion Bank v Jaikaran</w:t>
      </w:r>
      <w:r w:rsidRPr="009D3AC7">
        <w:t>, 2004 ABQB 297</w:t>
      </w:r>
    </w:p>
  </w:endnote>
  <w:endnote w:id="20">
    <w:p w:rsidR="00FE1EFF" w:rsidRPr="00EE63A8" w:rsidRDefault="00FF4712">
      <w:pPr>
        <w:pStyle w:val="EndnoteText"/>
      </w:pPr>
      <w:r>
        <w:rPr>
          <w:rStyle w:val="EndnoteReference"/>
        </w:rPr>
        <w:endnoteRef/>
      </w:r>
      <w:r>
        <w:t xml:space="preserve"> Section 18(2), </w:t>
      </w:r>
      <w:r>
        <w:rPr>
          <w:i/>
        </w:rPr>
        <w:t>CEA</w:t>
      </w:r>
      <w:r>
        <w:t xml:space="preserve">. </w:t>
      </w:r>
      <w:r w:rsidRPr="00EE63A8">
        <w:t xml:space="preserve"> Absent exceptional circumstances, the 21-day limit in the </w:t>
      </w:r>
      <w:r>
        <w:rPr>
          <w:i/>
        </w:rPr>
        <w:t>CEA</w:t>
      </w:r>
      <w:r w:rsidRPr="00EE63A8">
        <w:t xml:space="preserve"> for a without notice application is also an appropriate temporal guideline for wi</w:t>
      </w:r>
      <w:r>
        <w:t xml:space="preserve">thout notice Mareva injunctions: </w:t>
      </w:r>
      <w:r>
        <w:rPr>
          <w:i/>
        </w:rPr>
        <w:t xml:space="preserve">Secure 2013 </w:t>
      </w:r>
      <w:r>
        <w:t>at para 168.</w:t>
      </w:r>
    </w:p>
  </w:endnote>
  <w:endnote w:id="21">
    <w:p w:rsidR="00FE1EFF" w:rsidRPr="00412662" w:rsidRDefault="00FF4712">
      <w:pPr>
        <w:pStyle w:val="EndnoteText"/>
      </w:pPr>
      <w:r>
        <w:rPr>
          <w:rStyle w:val="EndnoteReference"/>
        </w:rPr>
        <w:endnoteRef/>
      </w:r>
      <w:r>
        <w:t xml:space="preserve"> Section 18(3) and 19, </w:t>
      </w:r>
      <w:r>
        <w:rPr>
          <w:i/>
        </w:rPr>
        <w:t>CEA</w:t>
      </w:r>
      <w:r>
        <w:t>.</w:t>
      </w:r>
    </w:p>
  </w:endnote>
  <w:endnote w:id="22">
    <w:p w:rsidR="00FE1EFF" w:rsidRPr="00412662" w:rsidRDefault="00FF4712">
      <w:pPr>
        <w:pStyle w:val="EndnoteText"/>
      </w:pPr>
      <w:r>
        <w:rPr>
          <w:rStyle w:val="EndnoteReference"/>
        </w:rPr>
        <w:endnoteRef/>
      </w:r>
      <w:r>
        <w:t xml:space="preserve"> Section 20, </w:t>
      </w:r>
      <w:r>
        <w:rPr>
          <w:i/>
        </w:rPr>
        <w:t>CEA</w:t>
      </w:r>
      <w:r>
        <w:t>.</w:t>
      </w:r>
    </w:p>
  </w:endnote>
  <w:endnote w:id="23">
    <w:p w:rsidR="00FE1EFF" w:rsidRPr="00E71848" w:rsidRDefault="00FF4712">
      <w:pPr>
        <w:pStyle w:val="EndnoteText"/>
      </w:pPr>
      <w:r>
        <w:rPr>
          <w:rStyle w:val="EndnoteReference"/>
        </w:rPr>
        <w:endnoteRef/>
      </w:r>
      <w:r>
        <w:t xml:space="preserve"> Section 17(3)d), </w:t>
      </w:r>
      <w:r>
        <w:rPr>
          <w:i/>
        </w:rPr>
        <w:t>CEA</w:t>
      </w:r>
      <w:r>
        <w:t>.</w:t>
      </w:r>
    </w:p>
  </w:endnote>
  <w:endnote w:id="24">
    <w:p w:rsidR="00FE1EFF" w:rsidRPr="00E71848" w:rsidRDefault="00FF4712">
      <w:pPr>
        <w:pStyle w:val="EndnoteText"/>
      </w:pPr>
      <w:r>
        <w:rPr>
          <w:rStyle w:val="EndnoteReference"/>
        </w:rPr>
        <w:endnoteRef/>
      </w:r>
      <w:r>
        <w:t xml:space="preserve"> Section 17(3)(e), </w:t>
      </w:r>
      <w:r>
        <w:rPr>
          <w:i/>
        </w:rPr>
        <w:t>CEA</w:t>
      </w:r>
      <w:r>
        <w:t>.</w:t>
      </w:r>
    </w:p>
  </w:endnote>
  <w:endnote w:id="25">
    <w:p w:rsidR="00FE1EFF" w:rsidRPr="00E71848" w:rsidRDefault="00FF4712">
      <w:pPr>
        <w:pStyle w:val="EndnoteText"/>
      </w:pPr>
      <w:r>
        <w:rPr>
          <w:rStyle w:val="EndnoteReference"/>
        </w:rPr>
        <w:endnoteRef/>
      </w:r>
      <w:r>
        <w:t xml:space="preserve"> Section 22(a), </w:t>
      </w:r>
      <w:r>
        <w:rPr>
          <w:i/>
        </w:rPr>
        <w:t>CEA</w:t>
      </w:r>
      <w:r>
        <w:t>.</w:t>
      </w:r>
    </w:p>
  </w:endnote>
  <w:endnote w:id="26">
    <w:p w:rsidR="00FE1EFF" w:rsidRPr="00E71848" w:rsidRDefault="00FF4712">
      <w:pPr>
        <w:pStyle w:val="EndnoteText"/>
      </w:pPr>
      <w:r>
        <w:rPr>
          <w:rStyle w:val="EndnoteReference"/>
        </w:rPr>
        <w:endnoteRef/>
      </w:r>
      <w:r>
        <w:t xml:space="preserve"> Section 22(b), </w:t>
      </w:r>
      <w:r>
        <w:rPr>
          <w:i/>
        </w:rPr>
        <w:t>CEA</w:t>
      </w:r>
      <w:r>
        <w:t>.</w:t>
      </w:r>
    </w:p>
  </w:endnote>
  <w:endnote w:id="27">
    <w:p w:rsidR="00FE1EFF" w:rsidRPr="00F104BE" w:rsidRDefault="00FF4712">
      <w:pPr>
        <w:pStyle w:val="EndnoteText"/>
      </w:pPr>
      <w:r>
        <w:rPr>
          <w:rStyle w:val="EndnoteReference"/>
        </w:rPr>
        <w:endnoteRef/>
      </w:r>
      <w:r>
        <w:t xml:space="preserve"> Section 17(8), </w:t>
      </w:r>
      <w:r>
        <w:rPr>
          <w:i/>
        </w:rPr>
        <w:t>CEA</w:t>
      </w:r>
      <w:r>
        <w:t>.</w:t>
      </w:r>
    </w:p>
  </w:endnote>
  <w:endnote w:id="28">
    <w:p w:rsidR="00FE1EFF" w:rsidRDefault="00FF4712">
      <w:pPr>
        <w:pStyle w:val="EndnoteText"/>
      </w:pPr>
      <w:r>
        <w:rPr>
          <w:rStyle w:val="EndnoteReference"/>
        </w:rPr>
        <w:endnoteRef/>
      </w:r>
      <w:r>
        <w:t xml:space="preserve"> </w:t>
      </w:r>
      <w:r w:rsidRPr="00EE63A8">
        <w:t>Rule 9.15(1)(a)</w:t>
      </w:r>
      <w:r>
        <w:t xml:space="preserve"> of the Alberta </w:t>
      </w:r>
      <w:r>
        <w:rPr>
          <w:i/>
        </w:rPr>
        <w:t>Rules of Court</w:t>
      </w:r>
      <w:r w:rsidRPr="00EE63A8">
        <w:t xml:space="preserve"> provides that the Court of Queen</w:t>
      </w:r>
      <w:r>
        <w:t>'</w:t>
      </w:r>
      <w:r w:rsidRPr="00EE63A8">
        <w:t xml:space="preserve">s Bench </w:t>
      </w:r>
      <w:r>
        <w:t>"</w:t>
      </w:r>
      <w:r w:rsidRPr="00EE63A8">
        <w:t>may set aside, vary or discharge a judgment or an order, whether final or interlocutory, that was made (a) without notice to one or more affected persons</w:t>
      </w:r>
      <w:r>
        <w:t>"</w:t>
      </w:r>
      <w:r w:rsidRPr="00EE63A8">
        <w:t xml:space="preserve">. Rule 9.16 states that such an application </w:t>
      </w:r>
      <w:r>
        <w:t>"</w:t>
      </w:r>
      <w:r w:rsidRPr="00EE63A8">
        <w:t>must be decided by the judge or master who granted the original judgment or order unless the Court otherwise orders</w:t>
      </w:r>
      <w:r>
        <w:t>"</w:t>
      </w:r>
      <w:r w:rsidRPr="00EE63A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327" w:rsidRDefault="00417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327" w:rsidRDefault="00417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327" w:rsidRDefault="0041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712" w:rsidRDefault="00FF4712">
      <w:r>
        <w:separator/>
      </w:r>
    </w:p>
  </w:footnote>
  <w:footnote w:type="continuationSeparator" w:id="0">
    <w:p w:rsidR="00FF4712" w:rsidRDefault="00FF4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988" w:rsidRDefault="00FF47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3988" w:rsidRDefault="00417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988" w:rsidRDefault="00FF47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13988" w:rsidRDefault="00417981">
    <w:pPr>
      <w:pStyle w:val="Header"/>
    </w:pPr>
  </w:p>
  <w:p w:rsidR="00C13988" w:rsidRDefault="00417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327" w:rsidRDefault="00417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1B4E086"/>
    <w:lvl w:ilvl="0">
      <w:start w:val="1"/>
      <w:numFmt w:val="decimal"/>
      <w:lvlText w:val="%1."/>
      <w:lvlJc w:val="left"/>
      <w:pPr>
        <w:tabs>
          <w:tab w:val="num" w:pos="1209"/>
        </w:tabs>
        <w:ind w:left="1209" w:hanging="360"/>
      </w:pPr>
    </w:lvl>
  </w:abstractNum>
  <w:abstractNum w:abstractNumId="1" w15:restartNumberingAfterBreak="0">
    <w:nsid w:val="09925328"/>
    <w:multiLevelType w:val="hybridMultilevel"/>
    <w:tmpl w:val="14E03B28"/>
    <w:lvl w:ilvl="0" w:tplc="730403F8">
      <w:start w:val="1"/>
      <w:numFmt w:val="decimal"/>
      <w:lvlText w:val="%1."/>
      <w:lvlJc w:val="left"/>
      <w:pPr>
        <w:ind w:left="720" w:hanging="360"/>
      </w:pPr>
      <w:rPr>
        <w:rFonts w:hint="default"/>
      </w:rPr>
    </w:lvl>
    <w:lvl w:ilvl="1" w:tplc="97D08E56" w:tentative="1">
      <w:start w:val="1"/>
      <w:numFmt w:val="lowerLetter"/>
      <w:lvlText w:val="%2."/>
      <w:lvlJc w:val="left"/>
      <w:pPr>
        <w:ind w:left="1440" w:hanging="360"/>
      </w:pPr>
    </w:lvl>
    <w:lvl w:ilvl="2" w:tplc="0546BB5A" w:tentative="1">
      <w:start w:val="1"/>
      <w:numFmt w:val="lowerRoman"/>
      <w:lvlText w:val="%3."/>
      <w:lvlJc w:val="right"/>
      <w:pPr>
        <w:ind w:left="2160" w:hanging="180"/>
      </w:pPr>
    </w:lvl>
    <w:lvl w:ilvl="3" w:tplc="E762261C" w:tentative="1">
      <w:start w:val="1"/>
      <w:numFmt w:val="decimal"/>
      <w:lvlText w:val="%4."/>
      <w:lvlJc w:val="left"/>
      <w:pPr>
        <w:ind w:left="2880" w:hanging="360"/>
      </w:pPr>
    </w:lvl>
    <w:lvl w:ilvl="4" w:tplc="76CC0C4E" w:tentative="1">
      <w:start w:val="1"/>
      <w:numFmt w:val="lowerLetter"/>
      <w:lvlText w:val="%5."/>
      <w:lvlJc w:val="left"/>
      <w:pPr>
        <w:ind w:left="3600" w:hanging="360"/>
      </w:pPr>
    </w:lvl>
    <w:lvl w:ilvl="5" w:tplc="6E3A38EC" w:tentative="1">
      <w:start w:val="1"/>
      <w:numFmt w:val="lowerRoman"/>
      <w:lvlText w:val="%6."/>
      <w:lvlJc w:val="right"/>
      <w:pPr>
        <w:ind w:left="4320" w:hanging="180"/>
      </w:pPr>
    </w:lvl>
    <w:lvl w:ilvl="6" w:tplc="06508B9A" w:tentative="1">
      <w:start w:val="1"/>
      <w:numFmt w:val="decimal"/>
      <w:lvlText w:val="%7."/>
      <w:lvlJc w:val="left"/>
      <w:pPr>
        <w:ind w:left="5040" w:hanging="360"/>
      </w:pPr>
    </w:lvl>
    <w:lvl w:ilvl="7" w:tplc="1688C676" w:tentative="1">
      <w:start w:val="1"/>
      <w:numFmt w:val="lowerLetter"/>
      <w:lvlText w:val="%8."/>
      <w:lvlJc w:val="left"/>
      <w:pPr>
        <w:ind w:left="5760" w:hanging="360"/>
      </w:pPr>
    </w:lvl>
    <w:lvl w:ilvl="8" w:tplc="53D8D87E" w:tentative="1">
      <w:start w:val="1"/>
      <w:numFmt w:val="lowerRoman"/>
      <w:lvlText w:val="%9."/>
      <w:lvlJc w:val="right"/>
      <w:pPr>
        <w:ind w:left="6480" w:hanging="180"/>
      </w:pPr>
    </w:lvl>
  </w:abstractNum>
  <w:abstractNum w:abstractNumId="2" w15:restartNumberingAfterBreak="0">
    <w:nsid w:val="0E0E5A21"/>
    <w:multiLevelType w:val="hybridMultilevel"/>
    <w:tmpl w:val="E760EAD8"/>
    <w:lvl w:ilvl="0" w:tplc="8AF8ACE2">
      <w:start w:val="1"/>
      <w:numFmt w:val="decimal"/>
      <w:lvlText w:val="%1."/>
      <w:lvlJc w:val="left"/>
      <w:pPr>
        <w:tabs>
          <w:tab w:val="num" w:pos="720"/>
        </w:tabs>
        <w:ind w:left="720" w:hanging="360"/>
      </w:pPr>
      <w:rPr>
        <w:rFonts w:hint="default"/>
      </w:rPr>
    </w:lvl>
    <w:lvl w:ilvl="1" w:tplc="C538AE60">
      <w:start w:val="1"/>
      <w:numFmt w:val="lowerLetter"/>
      <w:lvlText w:val="(%2)"/>
      <w:lvlJc w:val="left"/>
      <w:pPr>
        <w:tabs>
          <w:tab w:val="num" w:pos="1800"/>
        </w:tabs>
        <w:ind w:left="1800" w:hanging="720"/>
      </w:pPr>
      <w:rPr>
        <w:rFonts w:hint="default"/>
      </w:rPr>
    </w:lvl>
    <w:lvl w:ilvl="2" w:tplc="33BAB112">
      <w:start w:val="1"/>
      <w:numFmt w:val="lowerRoman"/>
      <w:lvlText w:val="%3."/>
      <w:lvlJc w:val="right"/>
      <w:pPr>
        <w:tabs>
          <w:tab w:val="num" w:pos="2160"/>
        </w:tabs>
        <w:ind w:left="2160" w:hanging="180"/>
      </w:pPr>
    </w:lvl>
    <w:lvl w:ilvl="3" w:tplc="6CBE5868" w:tentative="1">
      <w:start w:val="1"/>
      <w:numFmt w:val="decimal"/>
      <w:lvlText w:val="%4."/>
      <w:lvlJc w:val="left"/>
      <w:pPr>
        <w:tabs>
          <w:tab w:val="num" w:pos="2880"/>
        </w:tabs>
        <w:ind w:left="2880" w:hanging="360"/>
      </w:pPr>
    </w:lvl>
    <w:lvl w:ilvl="4" w:tplc="E722840C" w:tentative="1">
      <w:start w:val="1"/>
      <w:numFmt w:val="lowerLetter"/>
      <w:lvlText w:val="%5."/>
      <w:lvlJc w:val="left"/>
      <w:pPr>
        <w:tabs>
          <w:tab w:val="num" w:pos="3600"/>
        </w:tabs>
        <w:ind w:left="3600" w:hanging="360"/>
      </w:pPr>
    </w:lvl>
    <w:lvl w:ilvl="5" w:tplc="2F88DC78" w:tentative="1">
      <w:start w:val="1"/>
      <w:numFmt w:val="lowerRoman"/>
      <w:lvlText w:val="%6."/>
      <w:lvlJc w:val="right"/>
      <w:pPr>
        <w:tabs>
          <w:tab w:val="num" w:pos="4320"/>
        </w:tabs>
        <w:ind w:left="4320" w:hanging="180"/>
      </w:pPr>
    </w:lvl>
    <w:lvl w:ilvl="6" w:tplc="718EB994" w:tentative="1">
      <w:start w:val="1"/>
      <w:numFmt w:val="decimal"/>
      <w:lvlText w:val="%7."/>
      <w:lvlJc w:val="left"/>
      <w:pPr>
        <w:tabs>
          <w:tab w:val="num" w:pos="5040"/>
        </w:tabs>
        <w:ind w:left="5040" w:hanging="360"/>
      </w:pPr>
    </w:lvl>
    <w:lvl w:ilvl="7" w:tplc="09FC8340" w:tentative="1">
      <w:start w:val="1"/>
      <w:numFmt w:val="lowerLetter"/>
      <w:lvlText w:val="%8."/>
      <w:lvlJc w:val="left"/>
      <w:pPr>
        <w:tabs>
          <w:tab w:val="num" w:pos="5760"/>
        </w:tabs>
        <w:ind w:left="5760" w:hanging="360"/>
      </w:pPr>
    </w:lvl>
    <w:lvl w:ilvl="8" w:tplc="C4E2B976" w:tentative="1">
      <w:start w:val="1"/>
      <w:numFmt w:val="lowerRoman"/>
      <w:lvlText w:val="%9."/>
      <w:lvlJc w:val="right"/>
      <w:pPr>
        <w:tabs>
          <w:tab w:val="num" w:pos="6480"/>
        </w:tabs>
        <w:ind w:left="6480" w:hanging="180"/>
      </w:pPr>
    </w:lvl>
  </w:abstractNum>
  <w:abstractNum w:abstractNumId="3" w15:restartNumberingAfterBreak="0">
    <w:nsid w:val="0F4904E7"/>
    <w:multiLevelType w:val="multilevel"/>
    <w:tmpl w:val="6030A596"/>
    <w:lvl w:ilvl="0">
      <w:start w:val="1"/>
      <w:numFmt w:val="decimal"/>
      <w:pStyle w:val="BLGParatabLevel2"/>
      <w:lvlText w:val="%1."/>
      <w:lvlJc w:val="left"/>
      <w:pPr>
        <w:tabs>
          <w:tab w:val="num" w:pos="360"/>
        </w:tabs>
        <w:ind w:left="0" w:firstLine="0"/>
      </w:pPr>
      <w:rPr>
        <w:rFonts w:hint="default"/>
      </w:rPr>
    </w:lvl>
    <w:lvl w:ilvl="1">
      <w:start w:val="1"/>
      <w:numFmt w:val="lowerLetter"/>
      <w:pStyle w:val="BLGParatabLevel2"/>
      <w:lvlText w:val="(%2)"/>
      <w:lvlJc w:val="left"/>
      <w:pPr>
        <w:tabs>
          <w:tab w:val="num" w:pos="720"/>
        </w:tabs>
        <w:ind w:left="720" w:hanging="720"/>
      </w:pPr>
      <w:rPr>
        <w:rFonts w:hint="default"/>
      </w:rPr>
    </w:lvl>
    <w:lvl w:ilvl="2">
      <w:start w:val="1"/>
      <w:numFmt w:val="lowerRoman"/>
      <w:pStyle w:val="BLGParatabLevel6"/>
      <w:lvlText w:val="(%3)"/>
      <w:lvlJc w:val="left"/>
      <w:pPr>
        <w:tabs>
          <w:tab w:val="num" w:pos="1800"/>
        </w:tabs>
        <w:ind w:left="1440" w:hanging="720"/>
      </w:pPr>
      <w:rPr>
        <w:rFonts w:hint="default"/>
      </w:rPr>
    </w:lvl>
    <w:lvl w:ilvl="3">
      <w:start w:val="1"/>
      <w:numFmt w:val="upperLetter"/>
      <w:pStyle w:val="BLGParatabLevel7"/>
      <w:lvlText w:val="(%4)"/>
      <w:lvlJc w:val="left"/>
      <w:pPr>
        <w:tabs>
          <w:tab w:val="num" w:pos="2160"/>
        </w:tabs>
        <w:ind w:left="2160" w:hanging="720"/>
      </w:pPr>
      <w:rPr>
        <w:rFonts w:hint="default"/>
      </w:rPr>
    </w:lvl>
    <w:lvl w:ilvl="4">
      <w:start w:val="1"/>
      <w:numFmt w:val="decimal"/>
      <w:pStyle w:val="BLGArticleL1"/>
      <w:lvlText w:val="(%5)"/>
      <w:lvlJc w:val="left"/>
      <w:pPr>
        <w:tabs>
          <w:tab w:val="num" w:pos="2880"/>
        </w:tabs>
        <w:ind w:left="2880" w:hanging="720"/>
      </w:pPr>
      <w:rPr>
        <w:rFonts w:hint="default"/>
      </w:rPr>
    </w:lvl>
    <w:lvl w:ilvl="5">
      <w:start w:val="1"/>
      <w:numFmt w:val="lowerLetter"/>
      <w:pStyle w:val="BLGArticleL2"/>
      <w:lvlText w:val="%6)"/>
      <w:lvlJc w:val="left"/>
      <w:pPr>
        <w:tabs>
          <w:tab w:val="num" w:pos="3600"/>
        </w:tabs>
        <w:ind w:left="3600" w:hanging="720"/>
      </w:pPr>
      <w:rPr>
        <w:rFonts w:hint="default"/>
      </w:rPr>
    </w:lvl>
    <w:lvl w:ilvl="6">
      <w:start w:val="1"/>
      <w:numFmt w:val="decimal"/>
      <w:pStyle w:val="BLGArticleL3"/>
      <w:lvlText w:val="%7)"/>
      <w:lvlJc w:val="left"/>
      <w:pPr>
        <w:tabs>
          <w:tab w:val="num" w:pos="4320"/>
        </w:tabs>
        <w:ind w:left="4320" w:hanging="720"/>
      </w:pPr>
      <w:rPr>
        <w:rFonts w:hint="default"/>
      </w:rPr>
    </w:lvl>
    <w:lvl w:ilvl="7">
      <w:start w:val="1"/>
      <w:numFmt w:val="upp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4" w15:restartNumberingAfterBreak="0">
    <w:nsid w:val="139D30CC"/>
    <w:multiLevelType w:val="multilevel"/>
    <w:tmpl w:val="DF266E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237DEF"/>
    <w:multiLevelType w:val="multilevel"/>
    <w:tmpl w:val="DB26FBB4"/>
    <w:lvl w:ilvl="0">
      <w:start w:val="1"/>
      <w:numFmt w:val="decimal"/>
      <w:pStyle w:val="Heading1"/>
      <w:lvlText w:val="%1."/>
      <w:lvlJc w:val="left"/>
      <w:pPr>
        <w:tabs>
          <w:tab w:val="num" w:pos="720"/>
        </w:tabs>
        <w:ind w:left="720" w:hanging="720"/>
      </w:pPr>
      <w:rPr>
        <w:rFonts w:hint="default"/>
        <w:b w:val="0"/>
        <w:caps w:val="0"/>
        <w:color w:val="010000"/>
        <w:u w:val="none"/>
      </w:rPr>
    </w:lvl>
    <w:lvl w:ilvl="1">
      <w:start w:val="1"/>
      <w:numFmt w:val="lowerLetter"/>
      <w:pStyle w:val="Heading2"/>
      <w:lvlText w:val="(%2)"/>
      <w:lvlJc w:val="left"/>
      <w:pPr>
        <w:tabs>
          <w:tab w:val="num" w:pos="1440"/>
        </w:tabs>
        <w:ind w:left="1440" w:hanging="720"/>
      </w:pPr>
      <w:rPr>
        <w:rFonts w:hint="default"/>
        <w:b w:val="0"/>
        <w:caps w:val="0"/>
        <w:color w:val="010000"/>
        <w:u w:val="none"/>
      </w:rPr>
    </w:lvl>
    <w:lvl w:ilvl="2">
      <w:start w:val="1"/>
      <w:numFmt w:val="lowerRoman"/>
      <w:pStyle w:val="Heading3"/>
      <w:lvlText w:val="(%3)"/>
      <w:lvlJc w:val="left"/>
      <w:pPr>
        <w:tabs>
          <w:tab w:val="num" w:pos="2160"/>
        </w:tabs>
        <w:ind w:left="2160" w:hanging="720"/>
      </w:pPr>
      <w:rPr>
        <w:rFonts w:hint="default"/>
        <w:caps w:val="0"/>
        <w:color w:val="010000"/>
        <w:u w:val="none"/>
      </w:rPr>
    </w:lvl>
    <w:lvl w:ilvl="3">
      <w:start w:val="1"/>
      <w:numFmt w:val="decimal"/>
      <w:pStyle w:val="Heading4"/>
      <w:lvlText w:val="(%4)"/>
      <w:lvlJc w:val="left"/>
      <w:pPr>
        <w:tabs>
          <w:tab w:val="num" w:pos="2880"/>
        </w:tabs>
        <w:ind w:left="2880" w:hanging="720"/>
      </w:pPr>
      <w:rPr>
        <w:rFonts w:hint="default"/>
        <w:caps w:val="0"/>
        <w:color w:val="010000"/>
        <w:u w:val="none"/>
      </w:rPr>
    </w:lvl>
    <w:lvl w:ilvl="4">
      <w:start w:val="1"/>
      <w:numFmt w:val="lowerLetter"/>
      <w:pStyle w:val="Heading5"/>
      <w:lvlText w:val="%5."/>
      <w:lvlJc w:val="left"/>
      <w:pPr>
        <w:tabs>
          <w:tab w:val="num" w:pos="3600"/>
        </w:tabs>
        <w:ind w:left="3600" w:hanging="720"/>
      </w:pPr>
      <w:rPr>
        <w:rFonts w:hint="default"/>
        <w:caps w:val="0"/>
        <w:color w:val="010000"/>
        <w:u w:val="none"/>
      </w:rPr>
    </w:lvl>
    <w:lvl w:ilvl="5">
      <w:start w:val="1"/>
      <w:numFmt w:val="lowerRoman"/>
      <w:pStyle w:val="Heading6"/>
      <w:lvlText w:val="%6."/>
      <w:lvlJc w:val="left"/>
      <w:pPr>
        <w:tabs>
          <w:tab w:val="num" w:pos="4320"/>
        </w:tabs>
        <w:ind w:left="4320" w:hanging="720"/>
      </w:pPr>
      <w:rPr>
        <w:rFonts w:hint="default"/>
        <w:caps w:val="0"/>
        <w:color w:val="010000"/>
        <w:u w:val="none"/>
      </w:rPr>
    </w:lvl>
    <w:lvl w:ilvl="6">
      <w:start w:val="1"/>
      <w:numFmt w:val="decimal"/>
      <w:pStyle w:val="Heading7"/>
      <w:lvlText w:val="%7)"/>
      <w:lvlJc w:val="left"/>
      <w:pPr>
        <w:tabs>
          <w:tab w:val="num" w:pos="5040"/>
        </w:tabs>
        <w:ind w:left="5040" w:hanging="72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lowerRoman"/>
      <w:pStyle w:val="Heading9"/>
      <w:lvlText w:val="%9)"/>
      <w:lvlJc w:val="left"/>
      <w:pPr>
        <w:tabs>
          <w:tab w:val="num" w:pos="6480"/>
        </w:tabs>
        <w:ind w:left="6480" w:hanging="720"/>
      </w:pPr>
      <w:rPr>
        <w:rFonts w:hint="default"/>
        <w:caps w:val="0"/>
        <w:color w:val="010000"/>
        <w:u w:val="none"/>
      </w:rPr>
    </w:lvl>
  </w:abstractNum>
  <w:abstractNum w:abstractNumId="6" w15:restartNumberingAfterBreak="0">
    <w:nsid w:val="409F63F8"/>
    <w:multiLevelType w:val="multilevel"/>
    <w:tmpl w:val="9606D0DE"/>
    <w:name w:val="Standard"/>
    <w:lvl w:ilvl="0">
      <w:start w:val="1"/>
      <w:numFmt w:val="decimal"/>
      <w:pStyle w:val="StandardL1"/>
      <w:lvlText w:val="%1."/>
      <w:lvlJc w:val="left"/>
      <w:pPr>
        <w:tabs>
          <w:tab w:val="num" w:pos="720"/>
        </w:tabs>
        <w:ind w:left="720" w:hanging="720"/>
      </w:pPr>
      <w:rPr>
        <w:b w:val="0"/>
        <w:i w:val="0"/>
        <w:caps/>
        <w:smallCaps w:val="0"/>
        <w:strike w:val="0"/>
        <w:dstrike w:val="0"/>
        <w:outline w:val="0"/>
        <w:shadow w:val="0"/>
        <w:emboss w:val="0"/>
        <w:imprint w:val="0"/>
        <w:vanish w:val="0"/>
        <w:u w:val="none"/>
        <w:effect w:val="none"/>
        <w:vertAlign w:val="baseline"/>
      </w:rPr>
    </w:lvl>
    <w:lvl w:ilvl="1">
      <w:start w:val="1"/>
      <w:numFmt w:val="lowerLetter"/>
      <w:pStyle w:val="StandardL2"/>
      <w:lvlText w:val="(%2)"/>
      <w:lvlJc w:val="left"/>
      <w:pPr>
        <w:tabs>
          <w:tab w:val="num" w:pos="1440"/>
        </w:tabs>
        <w:ind w:left="1440" w:hanging="720"/>
      </w:pPr>
      <w:rPr>
        <w:b w:val="0"/>
        <w:i w:val="0"/>
        <w:caps w:val="0"/>
        <w:smallCaps w:val="0"/>
        <w:strike w:val="0"/>
        <w:dstrike w:val="0"/>
        <w:outline w:val="0"/>
        <w:shadow w:val="0"/>
        <w:emboss w:val="0"/>
        <w:imprint w:val="0"/>
        <w:vanish w:val="0"/>
        <w:u w:val="none"/>
        <w:effect w:val="none"/>
        <w:vertAlign w:val="baseline"/>
      </w:rPr>
    </w:lvl>
    <w:lvl w:ilvl="2">
      <w:start w:val="1"/>
      <w:numFmt w:val="lowerRoman"/>
      <w:lvlText w:val="(%3)"/>
      <w:lvlJc w:val="left"/>
      <w:pPr>
        <w:tabs>
          <w:tab w:val="num" w:pos="2160"/>
        </w:tabs>
        <w:ind w:left="2160" w:hanging="720"/>
      </w:pPr>
      <w:rPr>
        <w:b w:val="0"/>
        <w:i w:val="0"/>
        <w:caps w:val="0"/>
        <w:smallCaps w:val="0"/>
        <w:strike w:val="0"/>
        <w:dstrike w:val="0"/>
        <w:outline w:val="0"/>
        <w:shadow w:val="0"/>
        <w:emboss w:val="0"/>
        <w:imprint w:val="0"/>
        <w:vanish w:val="0"/>
        <w:u w:val="none"/>
        <w:effect w:val="none"/>
        <w:vertAlign w:val="baseline"/>
      </w:rPr>
    </w:lvl>
    <w:lvl w:ilvl="3">
      <w:start w:val="1"/>
      <w:numFmt w:val="upperLetter"/>
      <w:lvlText w:val="(%4)"/>
      <w:lvlJc w:val="left"/>
      <w:pPr>
        <w:tabs>
          <w:tab w:val="num" w:pos="2880"/>
        </w:tabs>
        <w:ind w:left="2880" w:hanging="720"/>
      </w:pPr>
      <w:rPr>
        <w:b w:val="0"/>
        <w:i w:val="0"/>
        <w:caps w:val="0"/>
        <w:smallCaps w:val="0"/>
        <w:strike w:val="0"/>
        <w:dstrike w:val="0"/>
        <w:outline w:val="0"/>
        <w:shadow w:val="0"/>
        <w:emboss w:val="0"/>
        <w:imprint w:val="0"/>
        <w:vanish w:val="0"/>
        <w:u w:val="none"/>
        <w:effect w:val="none"/>
        <w:vertAlign w:val="baseline"/>
      </w:rPr>
    </w:lvl>
    <w:lvl w:ilvl="4">
      <w:start w:val="1"/>
      <w:numFmt w:val="decimal"/>
      <w:lvlText w:val="(%5)"/>
      <w:lvlJc w:val="left"/>
      <w:pPr>
        <w:tabs>
          <w:tab w:val="num" w:pos="3600"/>
        </w:tabs>
        <w:ind w:left="3600" w:hanging="720"/>
      </w:pPr>
      <w:rPr>
        <w:b w:val="0"/>
        <w:i w:val="0"/>
        <w:caps w:val="0"/>
        <w:smallCaps w:val="0"/>
        <w:strike w:val="0"/>
        <w:dstrike w:val="0"/>
        <w:outline w:val="0"/>
        <w:shadow w:val="0"/>
        <w:emboss w:val="0"/>
        <w:imprint w:val="0"/>
        <w:vanish w:val="0"/>
        <w:u w:val="none"/>
        <w:effect w:val="none"/>
        <w:vertAlign w:val="baseline"/>
      </w:rPr>
    </w:lvl>
    <w:lvl w:ilvl="5">
      <w:start w:val="1"/>
      <w:numFmt w:val="lowerLetter"/>
      <w:lvlText w:val="%6)"/>
      <w:lvlJc w:val="left"/>
      <w:pPr>
        <w:tabs>
          <w:tab w:val="num" w:pos="4320"/>
        </w:tabs>
        <w:ind w:left="4320" w:hanging="720"/>
      </w:pPr>
      <w:rPr>
        <w:b w:val="0"/>
        <w:i w:val="0"/>
        <w:caps w:val="0"/>
        <w:smallCaps w:val="0"/>
        <w:strike w:val="0"/>
        <w:dstrike w:val="0"/>
        <w:outline w:val="0"/>
        <w:shadow w:val="0"/>
        <w:emboss w:val="0"/>
        <w:imprint w:val="0"/>
        <w:vanish w:val="0"/>
        <w:u w:val="none"/>
        <w:effect w:val="none"/>
        <w:vertAlign w:val="baseline"/>
      </w:rPr>
    </w:lvl>
    <w:lvl w:ilvl="6">
      <w:start w:val="1"/>
      <w:numFmt w:val="lowerRoman"/>
      <w:lvlText w:val="%7)"/>
      <w:lvlJc w:val="left"/>
      <w:pPr>
        <w:tabs>
          <w:tab w:val="num" w:pos="5040"/>
        </w:tabs>
        <w:ind w:left="5040" w:hanging="720"/>
      </w:pPr>
      <w:rPr>
        <w:b w:val="0"/>
        <w:i w:val="0"/>
        <w:caps w:val="0"/>
        <w:smallCaps w:val="0"/>
        <w:strike w:val="0"/>
        <w:dstrike w:val="0"/>
        <w:outline w:val="0"/>
        <w:shadow w:val="0"/>
        <w:emboss w:val="0"/>
        <w:imprint w:val="0"/>
        <w:vanish w:val="0"/>
        <w:u w:val="none"/>
        <w:effect w:val="none"/>
        <w:vertAlign w:val="baseline"/>
      </w:rPr>
    </w:lvl>
    <w:lvl w:ilvl="7">
      <w:start w:val="1"/>
      <w:numFmt w:val="upperLetter"/>
      <w:lvlText w:val="%8)"/>
      <w:lvlJc w:val="left"/>
      <w:pPr>
        <w:tabs>
          <w:tab w:val="num" w:pos="5760"/>
        </w:tabs>
        <w:ind w:left="5760" w:hanging="720"/>
      </w:pPr>
      <w:rPr>
        <w:b w:val="0"/>
        <w:i w:val="0"/>
        <w:caps w:val="0"/>
        <w:smallCaps w:val="0"/>
        <w:strike w:val="0"/>
        <w:dstrike w:val="0"/>
        <w:outline w:val="0"/>
        <w:shadow w:val="0"/>
        <w:emboss w:val="0"/>
        <w:imprint w:val="0"/>
        <w:vanish w:val="0"/>
        <w:u w:val="none"/>
        <w:effect w:val="none"/>
        <w:vertAlign w:val="baseline"/>
      </w:rPr>
    </w:lvl>
    <w:lvl w:ilvl="8">
      <w:start w:val="1"/>
      <w:numFmt w:val="decimal"/>
      <w:lvlText w:val="%9)"/>
      <w:lvlJc w:val="left"/>
      <w:pPr>
        <w:tabs>
          <w:tab w:val="num" w:pos="6480"/>
        </w:tabs>
        <w:ind w:left="6480" w:hanging="720"/>
      </w:pPr>
      <w:rPr>
        <w:b w:val="0"/>
        <w:i w:val="0"/>
        <w:caps w:val="0"/>
        <w:smallCaps w:val="0"/>
        <w:strike w:val="0"/>
        <w:dstrike w:val="0"/>
        <w:outline w:val="0"/>
        <w:shadow w:val="0"/>
        <w:emboss w:val="0"/>
        <w:imprint w:val="0"/>
        <w:vanish w:val="0"/>
        <w:u w:val="none"/>
        <w:effect w:val="none"/>
        <w:vertAlign w:val="baseline"/>
      </w:rPr>
    </w:lvl>
  </w:abstractNum>
  <w:abstractNum w:abstractNumId="7" w15:restartNumberingAfterBreak="0">
    <w:nsid w:val="597D4C18"/>
    <w:multiLevelType w:val="multilevel"/>
    <w:tmpl w:val="C688CC3C"/>
    <w:name w:val="zzmpLitStandard||LitStandard|2|1|1|1|2|0||1|2|0||1|0|0||1|0|0||1|0|0||1|0|0||1|0|0||1|0|0||1|0|0||"/>
    <w:lvl w:ilvl="0">
      <w:start w:val="1"/>
      <w:numFmt w:val="decimal"/>
      <w:pStyle w:val="LitStandardL1"/>
      <w:lvlText w:val="%1."/>
      <w:lvlJc w:val="left"/>
      <w:pPr>
        <w:tabs>
          <w:tab w:val="num" w:pos="720"/>
        </w:tabs>
        <w:ind w:left="0" w:firstLine="0"/>
      </w:pPr>
      <w:rPr>
        <w:b w:val="0"/>
        <w:i w:val="0"/>
        <w:caps/>
        <w:smallCaps w:val="0"/>
        <w:strike w:val="0"/>
        <w:dstrike w:val="0"/>
        <w:outline w:val="0"/>
        <w:shadow w:val="0"/>
        <w:emboss w:val="0"/>
        <w:imprint w:val="0"/>
        <w:vanish w:val="0"/>
        <w:webHidden w:val="0"/>
        <w:color w:val="auto"/>
        <w:u w:val="none"/>
        <w:effect w:val="none"/>
        <w:vertAlign w:val="baseline"/>
        <w:specVanish w:val="0"/>
      </w:rPr>
    </w:lvl>
    <w:lvl w:ilvl="1">
      <w:start w:val="1"/>
      <w:numFmt w:val="lowerLetter"/>
      <w:pStyle w:val="LitStandardL2"/>
      <w:lvlText w:val="(%2)"/>
      <w:lvlJc w:val="left"/>
      <w:pPr>
        <w:tabs>
          <w:tab w:val="num" w:pos="1440"/>
        </w:tabs>
        <w:ind w:left="1440" w:hanging="720"/>
      </w:pPr>
      <w:rPr>
        <w:b w:val="0"/>
        <w:i w:val="0"/>
        <w:caps w:val="0"/>
        <w:strike w:val="0"/>
        <w:dstrike w:val="0"/>
        <w:outline w:val="0"/>
        <w:shadow w:val="0"/>
        <w:emboss w:val="0"/>
        <w:imprint w:val="0"/>
        <w:vanish w:val="0"/>
        <w:webHidden w:val="0"/>
        <w:color w:val="auto"/>
        <w:u w:val="none"/>
        <w:effect w:val="none"/>
        <w:vertAlign w:val="baseline"/>
        <w:specVanish w:val="0"/>
      </w:rPr>
    </w:lvl>
    <w:lvl w:ilvl="2">
      <w:start w:val="1"/>
      <w:numFmt w:val="lowerRoman"/>
      <w:pStyle w:val="LitStandardL3"/>
      <w:lvlText w:val="(%3)"/>
      <w:lvlJc w:val="left"/>
      <w:pPr>
        <w:tabs>
          <w:tab w:val="num" w:pos="2160"/>
        </w:tabs>
        <w:ind w:left="2160" w:hanging="720"/>
      </w:pPr>
      <w:rPr>
        <w:b w:val="0"/>
        <w:i w:val="0"/>
        <w:caps w:val="0"/>
        <w:strike w:val="0"/>
        <w:dstrike w:val="0"/>
        <w:outline w:val="0"/>
        <w:shadow w:val="0"/>
        <w:emboss w:val="0"/>
        <w:imprint w:val="0"/>
        <w:vanish w:val="0"/>
        <w:webHidden w:val="0"/>
        <w:color w:val="auto"/>
        <w:u w:val="none"/>
        <w:effect w:val="none"/>
        <w:vertAlign w:val="baseline"/>
        <w:specVanish w:val="0"/>
      </w:rPr>
    </w:lvl>
    <w:lvl w:ilvl="3">
      <w:start w:val="1"/>
      <w:numFmt w:val="upperLetter"/>
      <w:pStyle w:val="LitStandardL4"/>
      <w:lvlText w:val="(%4)"/>
      <w:lvlJc w:val="left"/>
      <w:pPr>
        <w:tabs>
          <w:tab w:val="num" w:pos="2880"/>
        </w:tabs>
        <w:ind w:left="2880" w:hanging="720"/>
      </w:pPr>
      <w:rPr>
        <w:b w:val="0"/>
        <w:i w:val="0"/>
        <w:caps w:val="0"/>
        <w:strike w:val="0"/>
        <w:dstrike w:val="0"/>
        <w:outline w:val="0"/>
        <w:shadow w:val="0"/>
        <w:emboss w:val="0"/>
        <w:imprint w:val="0"/>
        <w:vanish w:val="0"/>
        <w:webHidden w:val="0"/>
        <w:color w:val="auto"/>
        <w:u w:val="none"/>
        <w:effect w:val="none"/>
        <w:vertAlign w:val="baseline"/>
        <w:specVanish w:val="0"/>
      </w:rPr>
    </w:lvl>
    <w:lvl w:ilvl="4">
      <w:start w:val="1"/>
      <w:numFmt w:val="decimal"/>
      <w:pStyle w:val="LitStandardL5"/>
      <w:lvlText w:val="(%5)"/>
      <w:lvlJc w:val="left"/>
      <w:pPr>
        <w:tabs>
          <w:tab w:val="num" w:pos="3600"/>
        </w:tabs>
        <w:ind w:left="3600" w:hanging="720"/>
      </w:pPr>
      <w:rPr>
        <w:b w:val="0"/>
        <w:i w:val="0"/>
        <w:caps w:val="0"/>
        <w:strike w:val="0"/>
        <w:dstrike w:val="0"/>
        <w:outline w:val="0"/>
        <w:shadow w:val="0"/>
        <w:emboss w:val="0"/>
        <w:imprint w:val="0"/>
        <w:vanish w:val="0"/>
        <w:webHidden w:val="0"/>
        <w:color w:val="auto"/>
        <w:u w:val="none"/>
        <w:effect w:val="none"/>
        <w:vertAlign w:val="baseline"/>
        <w:specVanish w:val="0"/>
      </w:rPr>
    </w:lvl>
    <w:lvl w:ilvl="5">
      <w:start w:val="1"/>
      <w:numFmt w:val="lowerLetter"/>
      <w:pStyle w:val="LitStandardL6"/>
      <w:lvlText w:val="%6)"/>
      <w:lvlJc w:val="left"/>
      <w:pPr>
        <w:tabs>
          <w:tab w:val="num" w:pos="4320"/>
        </w:tabs>
        <w:ind w:left="4320" w:hanging="720"/>
      </w:pPr>
      <w:rPr>
        <w:b w:val="0"/>
        <w:i w:val="0"/>
        <w:caps w:val="0"/>
        <w:strike w:val="0"/>
        <w:dstrike w:val="0"/>
        <w:outline w:val="0"/>
        <w:shadow w:val="0"/>
        <w:emboss w:val="0"/>
        <w:imprint w:val="0"/>
        <w:vanish w:val="0"/>
        <w:webHidden w:val="0"/>
        <w:color w:val="auto"/>
        <w:u w:val="none"/>
        <w:effect w:val="none"/>
        <w:vertAlign w:val="baseline"/>
        <w:specVanish w:val="0"/>
      </w:rPr>
    </w:lvl>
    <w:lvl w:ilvl="6">
      <w:start w:val="1"/>
      <w:numFmt w:val="lowerRoman"/>
      <w:pStyle w:val="LitStandardL7"/>
      <w:lvlText w:val="%7)"/>
      <w:lvlJc w:val="left"/>
      <w:pPr>
        <w:tabs>
          <w:tab w:val="num" w:pos="5040"/>
        </w:tabs>
        <w:ind w:left="5040" w:hanging="720"/>
      </w:pPr>
      <w:rPr>
        <w:b w:val="0"/>
        <w:i w:val="0"/>
        <w:caps w:val="0"/>
        <w:strike w:val="0"/>
        <w:dstrike w:val="0"/>
        <w:outline w:val="0"/>
        <w:shadow w:val="0"/>
        <w:emboss w:val="0"/>
        <w:imprint w:val="0"/>
        <w:vanish w:val="0"/>
        <w:webHidden w:val="0"/>
        <w:color w:val="auto"/>
        <w:u w:val="none"/>
        <w:effect w:val="none"/>
        <w:vertAlign w:val="baseline"/>
        <w:specVanish w:val="0"/>
      </w:rPr>
    </w:lvl>
    <w:lvl w:ilvl="7">
      <w:start w:val="1"/>
      <w:numFmt w:val="upperLetter"/>
      <w:pStyle w:val="LitStandardL8"/>
      <w:lvlText w:val="%8)"/>
      <w:lvlJc w:val="left"/>
      <w:pPr>
        <w:tabs>
          <w:tab w:val="num" w:pos="5760"/>
        </w:tabs>
        <w:ind w:left="5760" w:hanging="720"/>
      </w:pPr>
      <w:rPr>
        <w:b w:val="0"/>
        <w:i w:val="0"/>
        <w:caps w:val="0"/>
        <w:strike w:val="0"/>
        <w:dstrike w:val="0"/>
        <w:outline w:val="0"/>
        <w:shadow w:val="0"/>
        <w:emboss w:val="0"/>
        <w:imprint w:val="0"/>
        <w:vanish w:val="0"/>
        <w:webHidden w:val="0"/>
        <w:color w:val="auto"/>
        <w:u w:val="none"/>
        <w:effect w:val="none"/>
        <w:vertAlign w:val="baseline"/>
        <w:specVanish w:val="0"/>
      </w:rPr>
    </w:lvl>
    <w:lvl w:ilvl="8">
      <w:start w:val="1"/>
      <w:numFmt w:val="decimal"/>
      <w:pStyle w:val="LitStandardL9"/>
      <w:lvlText w:val="%9)"/>
      <w:lvlJc w:val="left"/>
      <w:pPr>
        <w:tabs>
          <w:tab w:val="num" w:pos="6480"/>
        </w:tabs>
        <w:ind w:left="6480" w:hanging="720"/>
      </w:pPr>
      <w:rPr>
        <w:b w:val="0"/>
        <w:i w:val="0"/>
        <w:caps w:val="0"/>
        <w:strike w:val="0"/>
        <w:dstrike w:val="0"/>
        <w:outline w:val="0"/>
        <w:shadow w:val="0"/>
        <w:emboss w:val="0"/>
        <w:imprint w:val="0"/>
        <w:vanish w:val="0"/>
        <w:webHidden w:val="0"/>
        <w:color w:val="auto"/>
        <w:u w:val="none"/>
        <w:effect w:val="none"/>
        <w:vertAlign w:val="baseline"/>
        <w:specVanish w:val="0"/>
      </w:rPr>
    </w:lvl>
  </w:abstractNum>
  <w:abstractNum w:abstractNumId="8" w15:restartNumberingAfterBreak="0">
    <w:nsid w:val="66227A8D"/>
    <w:multiLevelType w:val="hybridMultilevel"/>
    <w:tmpl w:val="05D87B7C"/>
    <w:lvl w:ilvl="0" w:tplc="4B44DE8C">
      <w:numFmt w:val="bullet"/>
      <w:lvlText w:val="-"/>
      <w:lvlJc w:val="left"/>
      <w:pPr>
        <w:ind w:left="720" w:hanging="360"/>
      </w:pPr>
      <w:rPr>
        <w:rFonts w:ascii="Times New Roman" w:eastAsia="Times New Roman" w:hAnsi="Times New Roman" w:cs="Times New Roman" w:hint="default"/>
      </w:rPr>
    </w:lvl>
    <w:lvl w:ilvl="1" w:tplc="329CFC00" w:tentative="1">
      <w:start w:val="1"/>
      <w:numFmt w:val="bullet"/>
      <w:lvlText w:val="o"/>
      <w:lvlJc w:val="left"/>
      <w:pPr>
        <w:ind w:left="1440" w:hanging="360"/>
      </w:pPr>
      <w:rPr>
        <w:rFonts w:ascii="Courier New" w:hAnsi="Courier New" w:cs="Courier New" w:hint="default"/>
      </w:rPr>
    </w:lvl>
    <w:lvl w:ilvl="2" w:tplc="524ECB2A" w:tentative="1">
      <w:start w:val="1"/>
      <w:numFmt w:val="bullet"/>
      <w:lvlText w:val=""/>
      <w:lvlJc w:val="left"/>
      <w:pPr>
        <w:ind w:left="2160" w:hanging="360"/>
      </w:pPr>
      <w:rPr>
        <w:rFonts w:ascii="Wingdings" w:hAnsi="Wingdings" w:hint="default"/>
      </w:rPr>
    </w:lvl>
    <w:lvl w:ilvl="3" w:tplc="8A649324" w:tentative="1">
      <w:start w:val="1"/>
      <w:numFmt w:val="bullet"/>
      <w:lvlText w:val=""/>
      <w:lvlJc w:val="left"/>
      <w:pPr>
        <w:ind w:left="2880" w:hanging="360"/>
      </w:pPr>
      <w:rPr>
        <w:rFonts w:ascii="Symbol" w:hAnsi="Symbol" w:hint="default"/>
      </w:rPr>
    </w:lvl>
    <w:lvl w:ilvl="4" w:tplc="3F342B00" w:tentative="1">
      <w:start w:val="1"/>
      <w:numFmt w:val="bullet"/>
      <w:lvlText w:val="o"/>
      <w:lvlJc w:val="left"/>
      <w:pPr>
        <w:ind w:left="3600" w:hanging="360"/>
      </w:pPr>
      <w:rPr>
        <w:rFonts w:ascii="Courier New" w:hAnsi="Courier New" w:cs="Courier New" w:hint="default"/>
      </w:rPr>
    </w:lvl>
    <w:lvl w:ilvl="5" w:tplc="2CA2CB36" w:tentative="1">
      <w:start w:val="1"/>
      <w:numFmt w:val="bullet"/>
      <w:lvlText w:val=""/>
      <w:lvlJc w:val="left"/>
      <w:pPr>
        <w:ind w:left="4320" w:hanging="360"/>
      </w:pPr>
      <w:rPr>
        <w:rFonts w:ascii="Wingdings" w:hAnsi="Wingdings" w:hint="default"/>
      </w:rPr>
    </w:lvl>
    <w:lvl w:ilvl="6" w:tplc="7332CC08" w:tentative="1">
      <w:start w:val="1"/>
      <w:numFmt w:val="bullet"/>
      <w:lvlText w:val=""/>
      <w:lvlJc w:val="left"/>
      <w:pPr>
        <w:ind w:left="5040" w:hanging="360"/>
      </w:pPr>
      <w:rPr>
        <w:rFonts w:ascii="Symbol" w:hAnsi="Symbol" w:hint="default"/>
      </w:rPr>
    </w:lvl>
    <w:lvl w:ilvl="7" w:tplc="E7FEA804" w:tentative="1">
      <w:start w:val="1"/>
      <w:numFmt w:val="bullet"/>
      <w:lvlText w:val="o"/>
      <w:lvlJc w:val="left"/>
      <w:pPr>
        <w:ind w:left="5760" w:hanging="360"/>
      </w:pPr>
      <w:rPr>
        <w:rFonts w:ascii="Courier New" w:hAnsi="Courier New" w:cs="Courier New" w:hint="default"/>
      </w:rPr>
    </w:lvl>
    <w:lvl w:ilvl="8" w:tplc="0DE44DC8" w:tentative="1">
      <w:start w:val="1"/>
      <w:numFmt w:val="bullet"/>
      <w:lvlText w:val=""/>
      <w:lvlJc w:val="left"/>
      <w:pPr>
        <w:ind w:left="6480" w:hanging="360"/>
      </w:pPr>
      <w:rPr>
        <w:rFonts w:ascii="Wingdings" w:hAnsi="Wingdings" w:hint="default"/>
      </w:rPr>
    </w:lvl>
  </w:abstractNum>
  <w:abstractNum w:abstractNumId="9" w15:restartNumberingAfterBreak="0">
    <w:nsid w:val="68303FA7"/>
    <w:multiLevelType w:val="hybridMultilevel"/>
    <w:tmpl w:val="656411BC"/>
    <w:lvl w:ilvl="0" w:tplc="9A18344E">
      <w:start w:val="1"/>
      <w:numFmt w:val="decimal"/>
      <w:pStyle w:val="Notes"/>
      <w:lvlText w:val="(%1)"/>
      <w:lvlJc w:val="left"/>
      <w:pPr>
        <w:tabs>
          <w:tab w:val="num" w:pos="720"/>
        </w:tabs>
        <w:ind w:left="720" w:hanging="720"/>
      </w:pPr>
      <w:rPr>
        <w:rFonts w:hint="default"/>
      </w:rPr>
    </w:lvl>
    <w:lvl w:ilvl="1" w:tplc="119CD4F4" w:tentative="1">
      <w:start w:val="1"/>
      <w:numFmt w:val="lowerLetter"/>
      <w:lvlText w:val="%2."/>
      <w:lvlJc w:val="left"/>
      <w:pPr>
        <w:tabs>
          <w:tab w:val="num" w:pos="1440"/>
        </w:tabs>
        <w:ind w:left="1440" w:hanging="360"/>
      </w:pPr>
    </w:lvl>
    <w:lvl w:ilvl="2" w:tplc="36D6001E" w:tentative="1">
      <w:start w:val="1"/>
      <w:numFmt w:val="lowerRoman"/>
      <w:lvlText w:val="%3."/>
      <w:lvlJc w:val="right"/>
      <w:pPr>
        <w:tabs>
          <w:tab w:val="num" w:pos="2160"/>
        </w:tabs>
        <w:ind w:left="2160" w:hanging="180"/>
      </w:pPr>
    </w:lvl>
    <w:lvl w:ilvl="3" w:tplc="FA149A02" w:tentative="1">
      <w:start w:val="1"/>
      <w:numFmt w:val="decimal"/>
      <w:lvlText w:val="%4."/>
      <w:lvlJc w:val="left"/>
      <w:pPr>
        <w:tabs>
          <w:tab w:val="num" w:pos="2880"/>
        </w:tabs>
        <w:ind w:left="2880" w:hanging="360"/>
      </w:pPr>
    </w:lvl>
    <w:lvl w:ilvl="4" w:tplc="ECC4AA68" w:tentative="1">
      <w:start w:val="1"/>
      <w:numFmt w:val="lowerLetter"/>
      <w:lvlText w:val="%5."/>
      <w:lvlJc w:val="left"/>
      <w:pPr>
        <w:tabs>
          <w:tab w:val="num" w:pos="3600"/>
        </w:tabs>
        <w:ind w:left="3600" w:hanging="360"/>
      </w:pPr>
    </w:lvl>
    <w:lvl w:ilvl="5" w:tplc="F79EF564" w:tentative="1">
      <w:start w:val="1"/>
      <w:numFmt w:val="lowerRoman"/>
      <w:lvlText w:val="%6."/>
      <w:lvlJc w:val="right"/>
      <w:pPr>
        <w:tabs>
          <w:tab w:val="num" w:pos="4320"/>
        </w:tabs>
        <w:ind w:left="4320" w:hanging="180"/>
      </w:pPr>
    </w:lvl>
    <w:lvl w:ilvl="6" w:tplc="8306FA78" w:tentative="1">
      <w:start w:val="1"/>
      <w:numFmt w:val="decimal"/>
      <w:lvlText w:val="%7."/>
      <w:lvlJc w:val="left"/>
      <w:pPr>
        <w:tabs>
          <w:tab w:val="num" w:pos="5040"/>
        </w:tabs>
        <w:ind w:left="5040" w:hanging="360"/>
      </w:pPr>
    </w:lvl>
    <w:lvl w:ilvl="7" w:tplc="55E467DC" w:tentative="1">
      <w:start w:val="1"/>
      <w:numFmt w:val="lowerLetter"/>
      <w:lvlText w:val="%8."/>
      <w:lvlJc w:val="left"/>
      <w:pPr>
        <w:tabs>
          <w:tab w:val="num" w:pos="5760"/>
        </w:tabs>
        <w:ind w:left="5760" w:hanging="360"/>
      </w:pPr>
    </w:lvl>
    <w:lvl w:ilvl="8" w:tplc="F4307378" w:tentative="1">
      <w:start w:val="1"/>
      <w:numFmt w:val="lowerRoman"/>
      <w:lvlText w:val="%9."/>
      <w:lvlJc w:val="right"/>
      <w:pPr>
        <w:tabs>
          <w:tab w:val="num" w:pos="6480"/>
        </w:tabs>
        <w:ind w:left="6480" w:hanging="180"/>
      </w:pPr>
    </w:lvl>
  </w:abstractNum>
  <w:abstractNum w:abstractNumId="10" w15:restartNumberingAfterBreak="0">
    <w:nsid w:val="71896166"/>
    <w:multiLevelType w:val="multilevel"/>
    <w:tmpl w:val="B6FEC8A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1E24DB0"/>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404DED"/>
    <w:multiLevelType w:val="hybridMultilevel"/>
    <w:tmpl w:val="10B41C46"/>
    <w:lvl w:ilvl="0" w:tplc="A35EB514">
      <w:start w:val="1"/>
      <w:numFmt w:val="decimal"/>
      <w:lvlText w:val="%1."/>
      <w:lvlJc w:val="left"/>
      <w:pPr>
        <w:tabs>
          <w:tab w:val="num" w:pos="720"/>
        </w:tabs>
        <w:ind w:left="720" w:hanging="360"/>
      </w:pPr>
    </w:lvl>
    <w:lvl w:ilvl="1" w:tplc="63620D98" w:tentative="1">
      <w:start w:val="1"/>
      <w:numFmt w:val="lowerLetter"/>
      <w:lvlText w:val="%2."/>
      <w:lvlJc w:val="left"/>
      <w:pPr>
        <w:tabs>
          <w:tab w:val="num" w:pos="1440"/>
        </w:tabs>
        <w:ind w:left="1440" w:hanging="360"/>
      </w:pPr>
    </w:lvl>
    <w:lvl w:ilvl="2" w:tplc="01125AF0" w:tentative="1">
      <w:start w:val="1"/>
      <w:numFmt w:val="lowerRoman"/>
      <w:lvlText w:val="%3."/>
      <w:lvlJc w:val="right"/>
      <w:pPr>
        <w:tabs>
          <w:tab w:val="num" w:pos="2160"/>
        </w:tabs>
        <w:ind w:left="2160" w:hanging="180"/>
      </w:pPr>
    </w:lvl>
    <w:lvl w:ilvl="3" w:tplc="0A4A386C" w:tentative="1">
      <w:start w:val="1"/>
      <w:numFmt w:val="decimal"/>
      <w:lvlText w:val="%4."/>
      <w:lvlJc w:val="left"/>
      <w:pPr>
        <w:tabs>
          <w:tab w:val="num" w:pos="2880"/>
        </w:tabs>
        <w:ind w:left="2880" w:hanging="360"/>
      </w:pPr>
    </w:lvl>
    <w:lvl w:ilvl="4" w:tplc="ED78C652" w:tentative="1">
      <w:start w:val="1"/>
      <w:numFmt w:val="lowerLetter"/>
      <w:lvlText w:val="%5."/>
      <w:lvlJc w:val="left"/>
      <w:pPr>
        <w:tabs>
          <w:tab w:val="num" w:pos="3600"/>
        </w:tabs>
        <w:ind w:left="3600" w:hanging="360"/>
      </w:pPr>
    </w:lvl>
    <w:lvl w:ilvl="5" w:tplc="D0A2543E" w:tentative="1">
      <w:start w:val="1"/>
      <w:numFmt w:val="lowerRoman"/>
      <w:lvlText w:val="%6."/>
      <w:lvlJc w:val="right"/>
      <w:pPr>
        <w:tabs>
          <w:tab w:val="num" w:pos="4320"/>
        </w:tabs>
        <w:ind w:left="4320" w:hanging="180"/>
      </w:pPr>
    </w:lvl>
    <w:lvl w:ilvl="6" w:tplc="5D2E0D20" w:tentative="1">
      <w:start w:val="1"/>
      <w:numFmt w:val="decimal"/>
      <w:lvlText w:val="%7."/>
      <w:lvlJc w:val="left"/>
      <w:pPr>
        <w:tabs>
          <w:tab w:val="num" w:pos="5040"/>
        </w:tabs>
        <w:ind w:left="5040" w:hanging="360"/>
      </w:pPr>
    </w:lvl>
    <w:lvl w:ilvl="7" w:tplc="CFF0CF52" w:tentative="1">
      <w:start w:val="1"/>
      <w:numFmt w:val="lowerLetter"/>
      <w:lvlText w:val="%8."/>
      <w:lvlJc w:val="left"/>
      <w:pPr>
        <w:tabs>
          <w:tab w:val="num" w:pos="5760"/>
        </w:tabs>
        <w:ind w:left="5760" w:hanging="360"/>
      </w:pPr>
    </w:lvl>
    <w:lvl w:ilvl="8" w:tplc="28DE150C" w:tentative="1">
      <w:start w:val="1"/>
      <w:numFmt w:val="lowerRoman"/>
      <w:lvlText w:val="%9."/>
      <w:lvlJc w:val="right"/>
      <w:pPr>
        <w:tabs>
          <w:tab w:val="num" w:pos="6480"/>
        </w:tabs>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1"/>
  </w:num>
  <w:num w:numId="11">
    <w:abstractNumId w:val="9"/>
  </w:num>
  <w:num w:numId="12">
    <w:abstractNumId w:val="5"/>
  </w:num>
  <w:num w:numId="13">
    <w:abstractNumId w:val="12"/>
  </w:num>
  <w:num w:numId="14">
    <w:abstractNumId w:val="8"/>
  </w:num>
  <w:num w:numId="15">
    <w:abstractNumId w:val="1"/>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num>
  <w:num w:numId="22">
    <w:abstractNumId w:val="3"/>
  </w:num>
  <w:num w:numId="23">
    <w:abstractNumId w:val="4"/>
  </w:num>
  <w:num w:numId="24">
    <w:abstractNumId w:val="5"/>
  </w:num>
  <w:num w:numId="25">
    <w:abstractNumId w:val="5"/>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num>
  <w:num w:numId="2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42"/>
    <w:rsid w:val="003F0242"/>
    <w:rsid w:val="00417981"/>
    <w:rsid w:val="00AE54A1"/>
    <w:rsid w:val="00FF47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9E308-160A-4BB4-8EF9-87F99CEB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5B14"/>
    <w:pPr>
      <w:jc w:val="both"/>
    </w:pPr>
    <w:rPr>
      <w:sz w:val="22"/>
      <w:lang w:eastAsia="en-US"/>
    </w:rPr>
  </w:style>
  <w:style w:type="paragraph" w:styleId="Heading1">
    <w:name w:val="heading 1"/>
    <w:basedOn w:val="Normal"/>
    <w:qFormat/>
    <w:rsid w:val="00FE6B67"/>
    <w:pPr>
      <w:numPr>
        <w:numId w:val="12"/>
      </w:numPr>
      <w:spacing w:after="240"/>
      <w:outlineLvl w:val="0"/>
    </w:pPr>
  </w:style>
  <w:style w:type="paragraph" w:styleId="Heading2">
    <w:name w:val="heading 2"/>
    <w:basedOn w:val="Normal"/>
    <w:qFormat/>
    <w:rsid w:val="009C48D3"/>
    <w:pPr>
      <w:numPr>
        <w:ilvl w:val="1"/>
        <w:numId w:val="12"/>
      </w:numPr>
      <w:spacing w:after="240"/>
      <w:outlineLvl w:val="1"/>
    </w:pPr>
  </w:style>
  <w:style w:type="paragraph" w:styleId="Heading3">
    <w:name w:val="heading 3"/>
    <w:basedOn w:val="Normal"/>
    <w:next w:val="Normal"/>
    <w:qFormat/>
    <w:rsid w:val="0011143C"/>
    <w:pPr>
      <w:numPr>
        <w:ilvl w:val="2"/>
        <w:numId w:val="12"/>
      </w:numPr>
      <w:spacing w:after="240"/>
      <w:outlineLvl w:val="2"/>
    </w:pPr>
  </w:style>
  <w:style w:type="paragraph" w:styleId="Heading4">
    <w:name w:val="heading 4"/>
    <w:basedOn w:val="Normal"/>
    <w:next w:val="Normal"/>
    <w:qFormat/>
    <w:rsid w:val="003C2D3B"/>
    <w:pPr>
      <w:numPr>
        <w:ilvl w:val="3"/>
        <w:numId w:val="12"/>
      </w:numPr>
      <w:spacing w:after="240"/>
      <w:jc w:val="left"/>
      <w:outlineLvl w:val="3"/>
    </w:pPr>
  </w:style>
  <w:style w:type="paragraph" w:styleId="Heading5">
    <w:name w:val="heading 5"/>
    <w:basedOn w:val="Normal"/>
    <w:next w:val="Normal"/>
    <w:qFormat/>
    <w:rsid w:val="003C2D3B"/>
    <w:pPr>
      <w:numPr>
        <w:ilvl w:val="4"/>
        <w:numId w:val="12"/>
      </w:numPr>
      <w:spacing w:after="240"/>
      <w:jc w:val="left"/>
      <w:outlineLvl w:val="4"/>
    </w:pPr>
  </w:style>
  <w:style w:type="paragraph" w:styleId="Heading6">
    <w:name w:val="heading 6"/>
    <w:basedOn w:val="Normal"/>
    <w:next w:val="Normal"/>
    <w:qFormat/>
    <w:rsid w:val="003C2D3B"/>
    <w:pPr>
      <w:numPr>
        <w:ilvl w:val="5"/>
        <w:numId w:val="12"/>
      </w:numPr>
      <w:spacing w:after="240"/>
      <w:jc w:val="left"/>
      <w:outlineLvl w:val="5"/>
    </w:pPr>
  </w:style>
  <w:style w:type="paragraph" w:styleId="Heading7">
    <w:name w:val="heading 7"/>
    <w:basedOn w:val="Normal"/>
    <w:next w:val="Normal"/>
    <w:qFormat/>
    <w:rsid w:val="003C2D3B"/>
    <w:pPr>
      <w:numPr>
        <w:ilvl w:val="6"/>
        <w:numId w:val="12"/>
      </w:numPr>
      <w:spacing w:after="240"/>
      <w:jc w:val="left"/>
      <w:outlineLvl w:val="6"/>
    </w:pPr>
  </w:style>
  <w:style w:type="paragraph" w:styleId="Heading8">
    <w:name w:val="heading 8"/>
    <w:basedOn w:val="Normal"/>
    <w:next w:val="Normal"/>
    <w:qFormat/>
    <w:rsid w:val="003C2D3B"/>
    <w:pPr>
      <w:numPr>
        <w:ilvl w:val="7"/>
        <w:numId w:val="12"/>
      </w:numPr>
      <w:spacing w:after="240"/>
      <w:jc w:val="left"/>
      <w:outlineLvl w:val="7"/>
    </w:pPr>
  </w:style>
  <w:style w:type="paragraph" w:styleId="Heading9">
    <w:name w:val="heading 9"/>
    <w:basedOn w:val="Normal"/>
    <w:next w:val="Normal"/>
    <w:qFormat/>
    <w:rsid w:val="003C2D3B"/>
    <w:pPr>
      <w:numPr>
        <w:ilvl w:val="8"/>
        <w:numId w:val="12"/>
      </w:numPr>
      <w:spacing w:after="24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2D3B"/>
    <w:pPr>
      <w:spacing w:after="240" w:line="360" w:lineRule="auto"/>
    </w:pPr>
  </w:style>
  <w:style w:type="paragraph" w:customStyle="1" w:styleId="IndentSingle">
    <w:name w:val="Indent (Single)"/>
    <w:basedOn w:val="Normal"/>
    <w:next w:val="Normal"/>
    <w:rsid w:val="003C2D3B"/>
    <w:pPr>
      <w:ind w:left="720" w:right="720"/>
    </w:pPr>
  </w:style>
  <w:style w:type="paragraph" w:styleId="Signature">
    <w:name w:val="Signature"/>
    <w:basedOn w:val="Normal"/>
    <w:rsid w:val="003C2D3B"/>
    <w:pPr>
      <w:ind w:left="4320"/>
    </w:pPr>
  </w:style>
  <w:style w:type="paragraph" w:styleId="Header">
    <w:name w:val="header"/>
    <w:basedOn w:val="Normal"/>
    <w:rsid w:val="003C2D3B"/>
    <w:pPr>
      <w:tabs>
        <w:tab w:val="center" w:pos="4320"/>
        <w:tab w:val="right" w:pos="8640"/>
      </w:tabs>
    </w:pPr>
  </w:style>
  <w:style w:type="paragraph" w:styleId="Footer">
    <w:name w:val="footer"/>
    <w:basedOn w:val="Normal"/>
    <w:rsid w:val="003C2D3B"/>
    <w:pPr>
      <w:tabs>
        <w:tab w:val="center" w:pos="4320"/>
        <w:tab w:val="right" w:pos="8640"/>
      </w:tabs>
    </w:pPr>
  </w:style>
  <w:style w:type="paragraph" w:customStyle="1" w:styleId="IndentDouble">
    <w:name w:val="Indent (Double)"/>
    <w:basedOn w:val="Normal"/>
    <w:next w:val="Normal"/>
    <w:rsid w:val="003C2D3B"/>
    <w:pPr>
      <w:ind w:left="1440" w:right="1440"/>
    </w:pPr>
  </w:style>
  <w:style w:type="paragraph" w:customStyle="1" w:styleId="Notes">
    <w:name w:val="Notes"/>
    <w:basedOn w:val="Normal"/>
    <w:rsid w:val="003C2D3B"/>
    <w:pPr>
      <w:numPr>
        <w:numId w:val="11"/>
      </w:numPr>
      <w:spacing w:after="180"/>
    </w:pPr>
    <w:rPr>
      <w:sz w:val="18"/>
    </w:rPr>
  </w:style>
  <w:style w:type="paragraph" w:styleId="BlockText">
    <w:name w:val="Block Text"/>
    <w:basedOn w:val="Normal"/>
    <w:rsid w:val="003C2D3B"/>
    <w:pPr>
      <w:spacing w:before="240"/>
      <w:ind w:left="386" w:right="700"/>
      <w:jc w:val="center"/>
    </w:pPr>
  </w:style>
  <w:style w:type="paragraph" w:customStyle="1" w:styleId="Header-AOR">
    <w:name w:val="Header-AOR"/>
    <w:basedOn w:val="Normal"/>
    <w:rsid w:val="003C2D3B"/>
    <w:pPr>
      <w:spacing w:before="480"/>
      <w:jc w:val="center"/>
    </w:pPr>
    <w:rPr>
      <w:b/>
      <w:bCs/>
    </w:rPr>
  </w:style>
  <w:style w:type="paragraph" w:styleId="Quote">
    <w:name w:val="Quote"/>
    <w:basedOn w:val="Normal"/>
    <w:next w:val="Normal"/>
    <w:qFormat/>
    <w:rsid w:val="003C2D3B"/>
    <w:pPr>
      <w:spacing w:after="240"/>
      <w:ind w:left="1440" w:right="1440"/>
    </w:pPr>
    <w:rPr>
      <w:lang w:val="en-US"/>
    </w:rPr>
  </w:style>
  <w:style w:type="paragraph" w:styleId="BalloonText">
    <w:name w:val="Balloon Text"/>
    <w:basedOn w:val="Normal"/>
    <w:rsid w:val="003C2D3B"/>
    <w:rPr>
      <w:rFonts w:ascii="Tahoma" w:hAnsi="Tahoma" w:cs="Tahoma"/>
      <w:sz w:val="16"/>
      <w:szCs w:val="16"/>
    </w:rPr>
  </w:style>
  <w:style w:type="paragraph" w:styleId="DocumentMap">
    <w:name w:val="Document Map"/>
    <w:basedOn w:val="Normal"/>
    <w:rsid w:val="003C2D3B"/>
    <w:pPr>
      <w:shd w:val="clear" w:color="auto" w:fill="000080"/>
    </w:pPr>
    <w:rPr>
      <w:rFonts w:ascii="Tahoma" w:hAnsi="Tahoma" w:cs="Tahoma"/>
      <w:sz w:val="20"/>
    </w:rPr>
  </w:style>
  <w:style w:type="table" w:styleId="TableGrid">
    <w:name w:val="Table Grid"/>
    <w:basedOn w:val="TableNormal"/>
    <w:rsid w:val="003C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1">
    <w:name w:val="subsection1"/>
    <w:basedOn w:val="Normal"/>
    <w:link w:val="subsection1Char"/>
    <w:rsid w:val="003C2D3B"/>
    <w:pPr>
      <w:spacing w:before="200" w:line="220" w:lineRule="atLeast"/>
      <w:ind w:left="1138"/>
      <w:jc w:val="left"/>
    </w:pPr>
    <w:rPr>
      <w:sz w:val="20"/>
      <w:lang w:val="en-US"/>
    </w:rPr>
  </w:style>
  <w:style w:type="character" w:customStyle="1" w:styleId="subsection1Char">
    <w:name w:val="subsection1 Char"/>
    <w:link w:val="subsection1"/>
    <w:rsid w:val="003C2D3B"/>
    <w:rPr>
      <w:lang w:val="en-US" w:eastAsia="en-US" w:bidi="ar-SA"/>
    </w:rPr>
  </w:style>
  <w:style w:type="paragraph" w:customStyle="1" w:styleId="BT15">
    <w:name w:val="BT 1.5"/>
    <w:basedOn w:val="BodyText"/>
    <w:rsid w:val="003C2D3B"/>
    <w:rPr>
      <w:szCs w:val="24"/>
      <w:lang w:eastAsia="en-CA"/>
    </w:rPr>
  </w:style>
  <w:style w:type="paragraph" w:customStyle="1" w:styleId="section1">
    <w:name w:val="section1"/>
    <w:basedOn w:val="Normal"/>
    <w:rsid w:val="003C2D3B"/>
    <w:pPr>
      <w:spacing w:line="220" w:lineRule="atLeast"/>
      <w:ind w:left="1138"/>
      <w:jc w:val="left"/>
    </w:pPr>
    <w:rPr>
      <w:sz w:val="20"/>
      <w:lang w:val="en-US"/>
    </w:rPr>
  </w:style>
  <w:style w:type="character" w:styleId="Hyperlink">
    <w:name w:val="Hyperlink"/>
    <w:rsid w:val="003C2D3B"/>
    <w:rPr>
      <w:color w:val="0000FF"/>
      <w:u w:val="single"/>
    </w:rPr>
  </w:style>
  <w:style w:type="character" w:styleId="PageNumber">
    <w:name w:val="page number"/>
    <w:basedOn w:val="DefaultParagraphFont"/>
    <w:rsid w:val="003C2D3B"/>
  </w:style>
  <w:style w:type="paragraph" w:customStyle="1" w:styleId="Head1">
    <w:name w:val="Head1"/>
    <w:basedOn w:val="BodyText"/>
    <w:rsid w:val="003C2D3B"/>
    <w:pPr>
      <w:spacing w:line="240" w:lineRule="auto"/>
      <w:jc w:val="center"/>
    </w:pPr>
    <w:rPr>
      <w:rFonts w:ascii="Times New Roman Bold" w:hAnsi="Times New Roman Bold"/>
      <w:b/>
      <w:lang w:eastAsia="en-CA"/>
    </w:rPr>
  </w:style>
  <w:style w:type="character" w:customStyle="1" w:styleId="BodyTextChar">
    <w:name w:val="Body Text Char"/>
    <w:basedOn w:val="DefaultParagraphFont"/>
    <w:link w:val="BodyText"/>
    <w:rsid w:val="001D66DB"/>
    <w:rPr>
      <w:sz w:val="24"/>
      <w:lang w:eastAsia="en-US"/>
    </w:rPr>
  </w:style>
  <w:style w:type="paragraph" w:styleId="FootnoteText">
    <w:name w:val="footnote text"/>
    <w:basedOn w:val="Normal"/>
    <w:link w:val="FootnoteTextChar"/>
    <w:unhideWhenUsed/>
    <w:rsid w:val="00264416"/>
    <w:rPr>
      <w:sz w:val="20"/>
    </w:rPr>
  </w:style>
  <w:style w:type="character" w:customStyle="1" w:styleId="FootnoteTextChar">
    <w:name w:val="Footnote Text Char"/>
    <w:basedOn w:val="DefaultParagraphFont"/>
    <w:link w:val="FootnoteText"/>
    <w:rsid w:val="00264416"/>
    <w:rPr>
      <w:lang w:eastAsia="en-US"/>
    </w:rPr>
  </w:style>
  <w:style w:type="character" w:styleId="FootnoteReference">
    <w:name w:val="footnote reference"/>
    <w:basedOn w:val="DefaultParagraphFont"/>
    <w:semiHidden/>
    <w:unhideWhenUsed/>
    <w:rsid w:val="00264416"/>
    <w:rPr>
      <w:vertAlign w:val="superscript"/>
    </w:rPr>
  </w:style>
  <w:style w:type="paragraph" w:styleId="BodyText2">
    <w:name w:val="Body Text 2"/>
    <w:basedOn w:val="Normal"/>
    <w:link w:val="BodyText2Char"/>
    <w:unhideWhenUsed/>
    <w:rsid w:val="009412A5"/>
    <w:pPr>
      <w:spacing w:after="120" w:line="480" w:lineRule="auto"/>
    </w:pPr>
  </w:style>
  <w:style w:type="character" w:customStyle="1" w:styleId="BodyText2Char">
    <w:name w:val="Body Text 2 Char"/>
    <w:basedOn w:val="DefaultParagraphFont"/>
    <w:link w:val="BodyText2"/>
    <w:rsid w:val="009412A5"/>
    <w:rPr>
      <w:sz w:val="24"/>
      <w:lang w:eastAsia="en-US"/>
    </w:rPr>
  </w:style>
  <w:style w:type="paragraph" w:customStyle="1" w:styleId="StandardL1">
    <w:name w:val="Standard_L1"/>
    <w:basedOn w:val="Normal"/>
    <w:rsid w:val="007A42C8"/>
    <w:pPr>
      <w:numPr>
        <w:numId w:val="21"/>
      </w:numPr>
      <w:spacing w:after="240" w:line="360" w:lineRule="auto"/>
      <w:outlineLvl w:val="0"/>
    </w:pPr>
    <w:rPr>
      <w:lang w:val="en-US"/>
    </w:rPr>
  </w:style>
  <w:style w:type="paragraph" w:customStyle="1" w:styleId="StandardL2">
    <w:name w:val="Standard_L2"/>
    <w:basedOn w:val="StandardL1"/>
    <w:rsid w:val="007A42C8"/>
    <w:pPr>
      <w:numPr>
        <w:ilvl w:val="1"/>
      </w:numPr>
      <w:outlineLvl w:val="1"/>
    </w:pPr>
  </w:style>
  <w:style w:type="paragraph" w:customStyle="1" w:styleId="BLGParatabLevel2">
    <w:name w:val="BLG Paratab Level 2"/>
    <w:aliases w:val="BLG ParaTab L2,pt2"/>
    <w:basedOn w:val="BodyText"/>
    <w:rsid w:val="007046D4"/>
    <w:pPr>
      <w:numPr>
        <w:ilvl w:val="1"/>
        <w:numId w:val="22"/>
      </w:numPr>
      <w:spacing w:line="240" w:lineRule="auto"/>
      <w:ind w:right="720"/>
    </w:pPr>
    <w:rPr>
      <w:szCs w:val="24"/>
    </w:rPr>
  </w:style>
  <w:style w:type="paragraph" w:customStyle="1" w:styleId="BLGParatabLevel6">
    <w:name w:val="BLG Paratab Level 6"/>
    <w:aliases w:val="BLG ParaTab L6,pt6"/>
    <w:basedOn w:val="BodyText"/>
    <w:rsid w:val="007046D4"/>
    <w:pPr>
      <w:numPr>
        <w:ilvl w:val="2"/>
        <w:numId w:val="22"/>
      </w:numPr>
    </w:pPr>
    <w:rPr>
      <w:szCs w:val="24"/>
    </w:rPr>
  </w:style>
  <w:style w:type="paragraph" w:customStyle="1" w:styleId="BLGParatabLevel7">
    <w:name w:val="BLG Paratab Level 7"/>
    <w:aliases w:val="BLG ParaTab L7,pt7"/>
    <w:basedOn w:val="BodyText"/>
    <w:rsid w:val="007046D4"/>
    <w:pPr>
      <w:numPr>
        <w:ilvl w:val="3"/>
        <w:numId w:val="22"/>
      </w:numPr>
    </w:pPr>
    <w:rPr>
      <w:szCs w:val="24"/>
    </w:rPr>
  </w:style>
  <w:style w:type="paragraph" w:customStyle="1" w:styleId="BLGArticleL1">
    <w:name w:val="BLG Article L1"/>
    <w:aliases w:val="a1"/>
    <w:basedOn w:val="BodyText"/>
    <w:next w:val="BLGArticleL2"/>
    <w:rsid w:val="007046D4"/>
    <w:pPr>
      <w:numPr>
        <w:ilvl w:val="4"/>
        <w:numId w:val="22"/>
      </w:numPr>
      <w:spacing w:line="240" w:lineRule="auto"/>
      <w:jc w:val="center"/>
    </w:pPr>
    <w:rPr>
      <w:b/>
      <w:caps/>
      <w:szCs w:val="24"/>
      <w:u w:val="single"/>
    </w:rPr>
  </w:style>
  <w:style w:type="paragraph" w:customStyle="1" w:styleId="BLGArticleL2">
    <w:name w:val="BLG Article L2"/>
    <w:aliases w:val="a2"/>
    <w:basedOn w:val="BodyText"/>
    <w:rsid w:val="007046D4"/>
    <w:pPr>
      <w:numPr>
        <w:ilvl w:val="5"/>
        <w:numId w:val="22"/>
      </w:numPr>
      <w:spacing w:line="240" w:lineRule="auto"/>
    </w:pPr>
    <w:rPr>
      <w:b/>
      <w:caps/>
      <w:szCs w:val="24"/>
    </w:rPr>
  </w:style>
  <w:style w:type="paragraph" w:customStyle="1" w:styleId="BLGArticleL3">
    <w:name w:val="BLG Article L3"/>
    <w:aliases w:val="a3"/>
    <w:basedOn w:val="BodyText"/>
    <w:rsid w:val="007046D4"/>
    <w:pPr>
      <w:numPr>
        <w:ilvl w:val="6"/>
        <w:numId w:val="22"/>
      </w:numPr>
      <w:spacing w:line="240" w:lineRule="auto"/>
    </w:pPr>
    <w:rPr>
      <w:szCs w:val="24"/>
    </w:rPr>
  </w:style>
  <w:style w:type="character" w:styleId="CommentReference">
    <w:name w:val="annotation reference"/>
    <w:basedOn w:val="DefaultParagraphFont"/>
    <w:semiHidden/>
    <w:unhideWhenUsed/>
    <w:rsid w:val="00631609"/>
    <w:rPr>
      <w:sz w:val="16"/>
      <w:szCs w:val="16"/>
    </w:rPr>
  </w:style>
  <w:style w:type="paragraph" w:styleId="CommentText">
    <w:name w:val="annotation text"/>
    <w:basedOn w:val="Normal"/>
    <w:link w:val="CommentTextChar"/>
    <w:unhideWhenUsed/>
    <w:rsid w:val="00631609"/>
    <w:rPr>
      <w:sz w:val="20"/>
    </w:rPr>
  </w:style>
  <w:style w:type="character" w:customStyle="1" w:styleId="CommentTextChar">
    <w:name w:val="Comment Text Char"/>
    <w:basedOn w:val="DefaultParagraphFont"/>
    <w:link w:val="CommentText"/>
    <w:rsid w:val="00631609"/>
    <w:rPr>
      <w:lang w:eastAsia="en-US"/>
    </w:rPr>
  </w:style>
  <w:style w:type="paragraph" w:styleId="CommentSubject">
    <w:name w:val="annotation subject"/>
    <w:basedOn w:val="CommentText"/>
    <w:next w:val="CommentText"/>
    <w:link w:val="CommentSubjectChar"/>
    <w:semiHidden/>
    <w:unhideWhenUsed/>
    <w:rsid w:val="00631609"/>
    <w:rPr>
      <w:b/>
      <w:bCs/>
    </w:rPr>
  </w:style>
  <w:style w:type="character" w:customStyle="1" w:styleId="CommentSubjectChar">
    <w:name w:val="Comment Subject Char"/>
    <w:basedOn w:val="CommentTextChar"/>
    <w:link w:val="CommentSubject"/>
    <w:semiHidden/>
    <w:rsid w:val="00631609"/>
    <w:rPr>
      <w:b/>
      <w:bCs/>
      <w:lang w:eastAsia="en-US"/>
    </w:rPr>
  </w:style>
  <w:style w:type="paragraph" w:customStyle="1" w:styleId="LitStandardL1">
    <w:name w:val="LitStandard_L1"/>
    <w:basedOn w:val="Normal"/>
    <w:rsid w:val="00F63456"/>
    <w:pPr>
      <w:numPr>
        <w:numId w:val="26"/>
      </w:numPr>
      <w:spacing w:after="240" w:line="360" w:lineRule="auto"/>
      <w:outlineLvl w:val="0"/>
    </w:pPr>
    <w:rPr>
      <w:sz w:val="24"/>
      <w:lang w:val="en-US"/>
    </w:rPr>
  </w:style>
  <w:style w:type="paragraph" w:customStyle="1" w:styleId="LitStandardL2">
    <w:name w:val="LitStandard_L2"/>
    <w:basedOn w:val="LitStandardL1"/>
    <w:rsid w:val="00F63456"/>
    <w:pPr>
      <w:numPr>
        <w:ilvl w:val="1"/>
      </w:numPr>
      <w:outlineLvl w:val="1"/>
    </w:pPr>
  </w:style>
  <w:style w:type="paragraph" w:customStyle="1" w:styleId="LitStandardL3">
    <w:name w:val="LitStandard_L3"/>
    <w:basedOn w:val="LitStandardL2"/>
    <w:rsid w:val="00F63456"/>
    <w:pPr>
      <w:numPr>
        <w:ilvl w:val="2"/>
      </w:numPr>
      <w:spacing w:line="240" w:lineRule="auto"/>
      <w:jc w:val="left"/>
      <w:outlineLvl w:val="2"/>
    </w:pPr>
  </w:style>
  <w:style w:type="paragraph" w:customStyle="1" w:styleId="LitStandardL4">
    <w:name w:val="LitStandard_L4"/>
    <w:basedOn w:val="LitStandardL3"/>
    <w:rsid w:val="00F63456"/>
    <w:pPr>
      <w:numPr>
        <w:ilvl w:val="3"/>
      </w:numPr>
      <w:outlineLvl w:val="3"/>
    </w:pPr>
  </w:style>
  <w:style w:type="paragraph" w:customStyle="1" w:styleId="LitStandardL5">
    <w:name w:val="LitStandard_L5"/>
    <w:basedOn w:val="LitStandardL4"/>
    <w:rsid w:val="00F63456"/>
    <w:pPr>
      <w:numPr>
        <w:ilvl w:val="4"/>
      </w:numPr>
      <w:outlineLvl w:val="4"/>
    </w:pPr>
  </w:style>
  <w:style w:type="paragraph" w:customStyle="1" w:styleId="LitStandardL6">
    <w:name w:val="LitStandard_L6"/>
    <w:basedOn w:val="LitStandardL5"/>
    <w:rsid w:val="00F63456"/>
    <w:pPr>
      <w:numPr>
        <w:ilvl w:val="5"/>
      </w:numPr>
      <w:outlineLvl w:val="5"/>
    </w:pPr>
  </w:style>
  <w:style w:type="paragraph" w:customStyle="1" w:styleId="LitStandardL7">
    <w:name w:val="LitStandard_L7"/>
    <w:basedOn w:val="LitStandardL6"/>
    <w:rsid w:val="00F63456"/>
    <w:pPr>
      <w:numPr>
        <w:ilvl w:val="6"/>
      </w:numPr>
      <w:outlineLvl w:val="6"/>
    </w:pPr>
  </w:style>
  <w:style w:type="paragraph" w:customStyle="1" w:styleId="LitStandardL8">
    <w:name w:val="LitStandard_L8"/>
    <w:basedOn w:val="LitStandardL7"/>
    <w:rsid w:val="00F63456"/>
    <w:pPr>
      <w:numPr>
        <w:ilvl w:val="7"/>
      </w:numPr>
      <w:outlineLvl w:val="7"/>
    </w:pPr>
  </w:style>
  <w:style w:type="paragraph" w:customStyle="1" w:styleId="LitStandardL9">
    <w:name w:val="LitStandard_L9"/>
    <w:basedOn w:val="LitStandardL8"/>
    <w:rsid w:val="00F63456"/>
    <w:pPr>
      <w:numPr>
        <w:ilvl w:val="8"/>
      </w:numPr>
      <w:outlineLvl w:val="8"/>
    </w:pPr>
  </w:style>
  <w:style w:type="paragraph" w:styleId="EndnoteText">
    <w:name w:val="endnote text"/>
    <w:basedOn w:val="Normal"/>
    <w:link w:val="EndnoteTextChar"/>
    <w:unhideWhenUsed/>
    <w:rsid w:val="00AD1327"/>
    <w:pPr>
      <w:spacing w:after="120"/>
    </w:pPr>
    <w:rPr>
      <w:sz w:val="20"/>
    </w:rPr>
  </w:style>
  <w:style w:type="character" w:customStyle="1" w:styleId="EndnoteTextChar">
    <w:name w:val="Endnote Text Char"/>
    <w:basedOn w:val="DefaultParagraphFont"/>
    <w:link w:val="EndnoteText"/>
    <w:rsid w:val="00AD1327"/>
    <w:rPr>
      <w:lang w:eastAsia="en-US"/>
    </w:rPr>
  </w:style>
  <w:style w:type="character" w:styleId="EndnoteReference">
    <w:name w:val="endnote reference"/>
    <w:basedOn w:val="DefaultParagraphFont"/>
    <w:semiHidden/>
    <w:unhideWhenUsed/>
    <w:rsid w:val="00FE1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02E45-DF5A-49E6-8E87-016825AD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Mancia</dc:creator>
  <cp:lastModifiedBy>ManciaM</cp:lastModifiedBy>
  <cp:revision>2</cp:revision>
  <dcterms:created xsi:type="dcterms:W3CDTF">2019-08-06T20:14:00Z</dcterms:created>
  <dcterms:modified xsi:type="dcterms:W3CDTF">2019-08-06T20:14:00Z</dcterms:modified>
</cp:coreProperties>
</file>